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FEA1" w14:textId="77777777" w:rsidR="00CF1E45" w:rsidRPr="00121937" w:rsidRDefault="00C6629F" w:rsidP="001219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 положения учетной политики (выдержки)</w:t>
      </w:r>
    </w:p>
    <w:p w14:paraId="5BA96EC8" w14:textId="0011520B" w:rsidR="00AB05E6" w:rsidRPr="00121937" w:rsidRDefault="00AB3A86" w:rsidP="001219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</w:t>
      </w:r>
      <w:r w:rsidR="00AB05E6"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едерального г</w:t>
      </w:r>
      <w:r w:rsidR="00C6629F"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осударственного бюджетного учреждения</w:t>
      </w:r>
    </w:p>
    <w:p w14:paraId="0E0BD815" w14:textId="0C33D244" w:rsidR="00CF1E45" w:rsidRPr="00121937" w:rsidRDefault="00C6629F" w:rsidP="001219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B05E6"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«Федеральный экспертно-правовой центр </w:t>
      </w:r>
      <w:r w:rsidR="00E12B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="009377C3"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агропромышленного комплекса</w:t>
      </w:r>
      <w:r w:rsidR="00AB05E6" w:rsidRPr="001219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5953B425" w14:textId="77777777" w:rsidR="003D4F6C" w:rsidRDefault="003D4F6C" w:rsidP="003D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B11C4D9" w14:textId="77777777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требованиями пункта 9 Стандарта «Учетная политика, оценочные значения и ошибки», утвержденного приказом Минфина от 30.12.2017 № 274н, на официальном сайте учреждения размещается информация об учетной политике.</w:t>
      </w:r>
    </w:p>
    <w:p w14:paraId="33B98855" w14:textId="0CA455F5" w:rsidR="00CF1E45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Учетная политика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ГБУ «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ФЭПЦ АПК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» утверждена приказом </w:t>
      </w:r>
      <w:r w:rsidR="001A7CDD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44212C" w:rsidRPr="0044212C">
        <w:rPr>
          <w:rFonts w:hAnsi="Times New Roman" w:cs="Times New Roman"/>
          <w:color w:val="000000"/>
          <w:sz w:val="28"/>
          <w:szCs w:val="28"/>
          <w:lang w:val="ru-RU"/>
        </w:rPr>
        <w:t>29</w:t>
      </w:r>
      <w:r w:rsidRPr="0044212C">
        <w:rPr>
          <w:rFonts w:hAnsi="Times New Roman" w:cs="Times New Roman"/>
          <w:color w:val="000000"/>
          <w:sz w:val="28"/>
          <w:szCs w:val="28"/>
          <w:lang w:val="ru-RU"/>
        </w:rPr>
        <w:t>.12.202</w:t>
      </w:r>
      <w:r w:rsidR="0044212C" w:rsidRPr="0044212C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3D4F6C" w:rsidRPr="004421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212C"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="00AB05E6" w:rsidRPr="0044212C">
        <w:rPr>
          <w:rFonts w:hAnsi="Times New Roman" w:cs="Times New Roman"/>
          <w:color w:val="000000"/>
          <w:sz w:val="28"/>
          <w:szCs w:val="28"/>
          <w:lang w:val="ru-RU"/>
        </w:rPr>
        <w:t>02/02/</w:t>
      </w:r>
      <w:r w:rsidR="0044212C" w:rsidRPr="0044212C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FF791B" w:rsidRPr="0044212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44212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7C35D88" w14:textId="77777777" w:rsidR="001A7CDD" w:rsidRPr="00784E70" w:rsidRDefault="001A7CDD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FAFF400" w14:textId="77777777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1. Бухгалтерский учет ведет структурное подразделение – бухгалтерия, возглавляемая главным бухгалтером. Сотрудники бухгалтерии руководствуются в работе положением о бухгалтерии, должностными инструкциями.</w:t>
      </w:r>
    </w:p>
    <w:p w14:paraId="4C309D02" w14:textId="77777777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Ответственным за ведение бухгалтерского учета в учреждении является главный бухгалтер.</w:t>
      </w:r>
    </w:p>
    <w:p w14:paraId="013D4D02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0043D0F" w14:textId="0A4B9C00" w:rsidR="00CF1E45" w:rsidRPr="00784E70" w:rsidRDefault="008F65A5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Бухгалтерский учет ведется в электронном виде с применением программных продуктов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«1С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Предприятие 8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.3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Бухгалтерия государственного </w:t>
      </w:r>
      <w:r w:rsidR="00A60C81">
        <w:rPr>
          <w:rFonts w:hAnsi="Times New Roman" w:cs="Times New Roman"/>
          <w:color w:val="000000"/>
          <w:sz w:val="28"/>
          <w:szCs w:val="28"/>
          <w:lang w:val="ru-RU"/>
        </w:rPr>
        <w:t xml:space="preserve">бюджетного 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учреждения» и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AB05E6" w:rsidRPr="00784E70">
        <w:rPr>
          <w:rFonts w:hAnsi="Times New Roman" w:cs="Times New Roman"/>
          <w:color w:val="000000"/>
          <w:sz w:val="28"/>
          <w:szCs w:val="28"/>
          <w:lang w:val="ru-RU"/>
        </w:rPr>
        <w:t>Зарплата и кадры государственного учреждения», редакция 8.3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7BFE3A0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DA70812" w14:textId="77777777" w:rsidR="00CF1E45" w:rsidRPr="00784E70" w:rsidRDefault="008F65A5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14:paraId="4BED670B" w14:textId="77777777" w:rsidR="00CF1E45" w:rsidRPr="00784E70" w:rsidRDefault="00C6629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система электронного документооборота с территориальным органом Федерального казначейства;</w:t>
      </w:r>
    </w:p>
    <w:p w14:paraId="6D96E3CA" w14:textId="77777777" w:rsidR="00CF1E45" w:rsidRPr="00784E70" w:rsidRDefault="00C6629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передача</w:t>
      </w:r>
      <w:proofErr w:type="spellEnd"/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бухгалтерской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отчетности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учредителю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;</w:t>
      </w:r>
    </w:p>
    <w:p w14:paraId="50ADB192" w14:textId="77777777" w:rsidR="00CF1E45" w:rsidRPr="00784E70" w:rsidRDefault="00C6629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передача отчетности по налогам, сборам и иным обязательным платежам в </w:t>
      </w:r>
      <w:r w:rsidR="00DC4AF2" w:rsidRPr="00784E7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нспекцию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Федеральной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налоговой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службы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;</w:t>
      </w:r>
    </w:p>
    <w:p w14:paraId="32820B2D" w14:textId="77777777" w:rsidR="003D11CF" w:rsidRPr="00784E70" w:rsidRDefault="003D11C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отчетности и сведений для начисления пособий в фонд Социального страхования</w:t>
      </w:r>
      <w:r w:rsidR="009377C3"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1F38EB8" w14:textId="310B02DD" w:rsidR="003D11CF" w:rsidRPr="00784E70" w:rsidRDefault="003D11C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передача отчетности в органы Статистики</w:t>
      </w:r>
      <w:r w:rsidR="009377C3"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B70CB9" w14:textId="34A4D48C" w:rsidR="00CF1E45" w:rsidRPr="00784E70" w:rsidRDefault="00C6629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передача 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отчетности в </w:t>
      </w:r>
      <w:r w:rsidR="00E0419D" w:rsidRPr="00784E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Фонд</w:t>
      </w:r>
      <w:r w:rsidR="00E0419D" w:rsidRPr="00784E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419D" w:rsidRPr="00784E7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пенсионного</w:t>
      </w:r>
      <w:r w:rsidR="00E0419D" w:rsidRPr="00784E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419D" w:rsidRPr="00784E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социального страхования Российской Федерации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6FF3EC" w14:textId="482A4603" w:rsidR="00CF1E45" w:rsidRPr="00784E70" w:rsidRDefault="00C6629F" w:rsidP="001A7CDD">
      <w:pPr>
        <w:numPr>
          <w:ilvl w:val="0"/>
          <w:numId w:val="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информации о 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деятельности учреждения на официальном сайте 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bus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784E70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F31A27C" w14:textId="5E94AE2B" w:rsidR="00450933" w:rsidRPr="001A7CDD" w:rsidRDefault="00450933" w:rsidP="001A7CD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бмен финансовыми и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документами с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территориальным органом Федерального казначейства осуществляется в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удаленного финансового документооборота органов Федерального казначейства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СУФД-</w:t>
      </w:r>
      <w:r w:rsidRPr="00784E70">
        <w:rPr>
          <w:rFonts w:ascii="Times New Roman" w:hAnsi="Times New Roman" w:cs="Times New Roman"/>
          <w:color w:val="000000"/>
          <w:sz w:val="28"/>
          <w:szCs w:val="28"/>
        </w:rPr>
        <w:t>online</w:t>
      </w: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7824C88" w14:textId="77777777" w:rsidR="001A7CDD" w:rsidRPr="00784E70" w:rsidRDefault="001A7CDD" w:rsidP="001A7CDD">
      <w:pPr>
        <w:pStyle w:val="a4"/>
        <w:widowControl w:val="0"/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11AED6" w14:textId="1824391B" w:rsidR="00816EB1" w:rsidRPr="00784E70" w:rsidRDefault="00816EB1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4. Дата перехода Учреждения на применение электронных 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документов – 31 марта 2023 г. </w:t>
      </w:r>
    </w:p>
    <w:p w14:paraId="60F2B54E" w14:textId="06243B07" w:rsidR="00816EB1" w:rsidRPr="00784E70" w:rsidRDefault="00816EB1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>Сроки формирования, подписания, утверждения электронных документов, а также передачи электронных документов для отражения в бухгалтерском учете определены в Графике документооборота электронных документов, формы которых утверждены</w:t>
      </w:r>
      <w:r w:rsidRPr="00784E70">
        <w:rPr>
          <w:rFonts w:ascii="Times New Roman" w:hAnsi="Times New Roman" w:cs="Times New Roman"/>
          <w:sz w:val="28"/>
          <w:szCs w:val="28"/>
        </w:rPr>
        <w:t> </w:t>
      </w:r>
      <w:hyperlink r:id="rId7" w:anchor="/document/400766923/entry/0" w:history="1">
        <w:r w:rsidRPr="00784E70">
          <w:rPr>
            <w:rFonts w:ascii="Times New Roman" w:hAnsi="Times New Roman" w:cs="Times New Roman"/>
            <w:sz w:val="28"/>
            <w:szCs w:val="28"/>
            <w:lang w:val="ru-RU"/>
          </w:rPr>
          <w:t>приказом</w:t>
        </w:r>
      </w:hyperlink>
      <w:r w:rsidRPr="00784E70">
        <w:rPr>
          <w:rFonts w:ascii="Times New Roman" w:hAnsi="Times New Roman" w:cs="Times New Roman"/>
          <w:sz w:val="28"/>
          <w:szCs w:val="28"/>
        </w:rPr>
        <w:t> 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Минфина России от 15.04.2021 № 61</w:t>
      </w:r>
      <w:r w:rsidR="00FF791B" w:rsidRPr="00784E70">
        <w:rPr>
          <w:rFonts w:ascii="Times New Roman" w:hAnsi="Times New Roman" w:cs="Times New Roman"/>
          <w:sz w:val="28"/>
          <w:szCs w:val="28"/>
          <w:lang w:val="ru-RU"/>
        </w:rPr>
        <w:t>н.</w:t>
      </w:r>
    </w:p>
    <w:p w14:paraId="291F85B2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5ED48A0" w14:textId="0420F3C3" w:rsidR="00CF1E45" w:rsidRPr="00784E70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При оформлении фактов хозяйственной жизни применяются унифицированные формы первичных учетных документов</w:t>
      </w:r>
      <w:r w:rsidR="00C6629F" w:rsidRPr="00784E70">
        <w:rPr>
          <w:rFonts w:hAnsi="Times New Roman" w:cs="Times New Roman"/>
          <w:color w:val="000000"/>
          <w:sz w:val="28"/>
          <w:szCs w:val="28"/>
        </w:rPr>
        <w:t> 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приказом Минфина</w:t>
      </w:r>
      <w:r w:rsidR="00C6629F" w:rsidRPr="00784E70">
        <w:rPr>
          <w:rFonts w:hAnsi="Times New Roman" w:cs="Times New Roman"/>
          <w:color w:val="000000"/>
          <w:sz w:val="28"/>
          <w:szCs w:val="28"/>
        </w:rPr>
        <w:t> 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№ 52н. При оформлении фактов хозяйственной жизни, по которым не предусмотрены типовые формы, применяются формы, установленные приложени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ем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учетной политике.</w:t>
      </w:r>
    </w:p>
    <w:p w14:paraId="3958BB5E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B07FC31" w14:textId="36F91F82" w:rsidR="00623A1E" w:rsidRPr="00784E70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Данные про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ш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ед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ш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их внутренний </w:t>
      </w:r>
      <w:r w:rsidR="00FF791B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финансовый 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ко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троль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D11CF" w:rsidRPr="00784E70">
        <w:rPr>
          <w:rFonts w:hAnsi="Times New Roman" w:cs="Times New Roman"/>
          <w:color w:val="000000"/>
          <w:sz w:val="28"/>
          <w:szCs w:val="28"/>
          <w:lang w:val="ru-RU"/>
        </w:rPr>
        <w:t>первичных учетных документов регистрируются, систематизируются и накапливаются в регистрах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, составленных по унифицированным формам.</w:t>
      </w:r>
    </w:p>
    <w:p w14:paraId="1C18E219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C62A404" w14:textId="1140B6A9" w:rsidR="00CF1E45" w:rsidRPr="00784E70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Инвентаризация активов и обязательств 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Учреждения 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проводится в соответствии с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о статьей 11 Федерального закона 402-ФЗ, с приказом Минфина России от 13 июня 1995 г. №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23A1E" w:rsidRPr="00784E70">
        <w:rPr>
          <w:rFonts w:hAnsi="Times New Roman" w:cs="Times New Roman"/>
          <w:color w:val="000000"/>
          <w:sz w:val="28"/>
          <w:szCs w:val="28"/>
          <w:lang w:val="ru-RU"/>
        </w:rPr>
        <w:t>49 «Об утверждении методических указаний по инвентаризации имущества и финансовых обязательств».</w:t>
      </w:r>
      <w:r w:rsidR="00AE394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Основанием для проведения инвентаризации является приказ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руководителя</w:t>
      </w:r>
      <w:r w:rsidR="00AE394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Учреждения.</w:t>
      </w:r>
    </w:p>
    <w:p w14:paraId="01A6AC42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F3AFA7A" w14:textId="0822C3A2" w:rsidR="00CF1E45" w:rsidRPr="00784E70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</w:p>
    <w:p w14:paraId="722B04EA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4A81009" w14:textId="00A6C104" w:rsidR="00CF1E45" w:rsidRPr="00784E70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В случае если для показателя, необходимого для ведения бухгалтерского учета, не установлен метод оценки в законодательстве и в учетной политике, то величина оценочного показателя определяется профессиональным суждением главного бухгалтера.</w:t>
      </w:r>
    </w:p>
    <w:p w14:paraId="776873E6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E7BEA89" w14:textId="22224958" w:rsidR="00CF1E45" w:rsidRDefault="00816EB1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Учреждение учитывает в составе основных средств материальные объекты имущества</w:t>
      </w:r>
      <w:r w:rsidR="00C6629F" w:rsidRPr="00784E70">
        <w:rPr>
          <w:rFonts w:hAnsi="Times New Roman" w:cs="Times New Roman"/>
          <w:color w:val="000000"/>
          <w:sz w:val="28"/>
          <w:szCs w:val="28"/>
        </w:rPr>
        <w:t> 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стоимости</w:t>
      </w:r>
      <w:r w:rsidR="00C6629F" w:rsidRPr="00784E70">
        <w:rPr>
          <w:rFonts w:hAnsi="Times New Roman" w:cs="Times New Roman"/>
          <w:color w:val="000000"/>
          <w:sz w:val="28"/>
          <w:szCs w:val="28"/>
        </w:rPr>
        <w:t> 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со сроком полезного использования более 12 месяцев, а также бесконтактные термометры, диспенсеры для антисептиков, штампы, печати и инвентарь. </w:t>
      </w:r>
    </w:p>
    <w:p w14:paraId="7CBEBD8B" w14:textId="77777777" w:rsidR="001A7CDD" w:rsidRPr="00784E70" w:rsidRDefault="001A7CDD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2E14543" w14:textId="605C4FC2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 ожидаемого использования</w:t>
      </w:r>
      <w:r w:rsidR="00AE394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D3343B3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72AFDB8" w14:textId="768575D0" w:rsidR="00CF1E45" w:rsidRPr="00784E70" w:rsidRDefault="00AE3943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.Стоимость объектов 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основных средств 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не считается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существенной 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при стоимости ниже 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0 000 руб. за один имущественный объект. 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14:paraId="496EE5F5" w14:textId="77777777" w:rsidR="006B5FEB" w:rsidRDefault="006B5F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75468A4" w14:textId="6AB32216" w:rsidR="00CF1E45" w:rsidRPr="00784E70" w:rsidRDefault="00AE3943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В сл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учае частичной ликвидации или </w:t>
      </w:r>
      <w:proofErr w:type="spellStart"/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разукомплектации</w:t>
      </w:r>
      <w:proofErr w:type="spellEnd"/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14:paraId="6C3F2B86" w14:textId="77777777" w:rsidR="00CF1E45" w:rsidRPr="00784E70" w:rsidRDefault="00C6629F" w:rsidP="001A7CDD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площади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;</w:t>
      </w:r>
    </w:p>
    <w:p w14:paraId="4E75AC9D" w14:textId="77777777" w:rsidR="00CF1E45" w:rsidRPr="00784E70" w:rsidRDefault="00C6629F" w:rsidP="001A7CDD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объему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;</w:t>
      </w:r>
    </w:p>
    <w:p w14:paraId="136BE379" w14:textId="77777777" w:rsidR="00CF1E45" w:rsidRPr="00784E70" w:rsidRDefault="00C6629F" w:rsidP="001A7CDD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весу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;</w:t>
      </w:r>
    </w:p>
    <w:p w14:paraId="2D0243AB" w14:textId="3A46C66B" w:rsidR="00CF1E45" w:rsidRDefault="00C6629F" w:rsidP="001A7CDD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иному показателю, установленному комиссией по</w:t>
      </w:r>
      <w:r w:rsidR="006B5F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поступлению и выбытию активов.</w:t>
      </w:r>
    </w:p>
    <w:p w14:paraId="03F4CA78" w14:textId="77777777" w:rsidR="006B5FEB" w:rsidRPr="00784E70" w:rsidRDefault="006B5FEB" w:rsidP="001A7CDD">
      <w:pPr>
        <w:spacing w:before="0" w:beforeAutospacing="0" w:after="0" w:afterAutospacing="0"/>
        <w:ind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AEABF20" w14:textId="3B225639" w:rsidR="007E59EB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Затраты</w:t>
      </w:r>
      <w:r w:rsidR="00AE3943" w:rsidRPr="00784E70">
        <w:rPr>
          <w:rFonts w:hAnsi="Times New Roman" w:cs="Times New Roman"/>
          <w:color w:val="000000"/>
          <w:sz w:val="28"/>
          <w:szCs w:val="28"/>
          <w:lang w:val="ru-RU"/>
        </w:rPr>
        <w:t>, возникающие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проведении ремонтов (модернизаций,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дооборудований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</w:t>
      </w:r>
    </w:p>
    <w:p w14:paraId="132CB13E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AB31DD2" w14:textId="6463D033" w:rsidR="007E59EB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Начисление амортизации основных средств осуществляется</w:t>
      </w:r>
      <w:r w:rsidR="00AE394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линейным методом</w:t>
      </w:r>
      <w:r w:rsidR="00AB3812">
        <w:rPr>
          <w:rFonts w:hAnsi="Times New Roman" w:cs="Times New Roman"/>
          <w:color w:val="000000"/>
          <w:sz w:val="28"/>
          <w:szCs w:val="28"/>
          <w:lang w:val="ru-RU"/>
        </w:rPr>
        <w:t xml:space="preserve"> 1-го числа месяца следующего за месяцем принятия к учету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4984934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48BCA0C" w14:textId="38F0367E" w:rsidR="00CF1E45" w:rsidRPr="00784E70" w:rsidRDefault="007E59EB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При переоценке объекта ОС сумма накопленной амортизации, исчисленная на дату 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переоценки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14:paraId="513D2AC7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D9FE646" w14:textId="77777777" w:rsidR="00A300F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Основные средства стоимостью до 10 000 руб. включительно, находящиеся в эксплуатации, учитываются на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счете 21 по балансовой стоимости.</w:t>
      </w:r>
    </w:p>
    <w:p w14:paraId="3C7A69EB" w14:textId="77777777" w:rsidR="001A7CDD" w:rsidRDefault="001A7CDD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453A7B6" w14:textId="7A520E40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84E70">
        <w:rPr>
          <w:rFonts w:hAnsi="Times New Roman" w:cs="Times New Roman"/>
          <w:color w:val="000000"/>
          <w:sz w:val="28"/>
          <w:szCs w:val="28"/>
        </w:rPr>
        <w:t> 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14:paraId="18082A2C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855DD16" w14:textId="203110C7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</w:t>
      </w:r>
      <w:r w:rsidR="00816EB1" w:rsidRPr="00784E70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Начисление амортизации нематериальных активов осуществляется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линейным методом.</w:t>
      </w:r>
    </w:p>
    <w:p w14:paraId="0C468718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C62E1C6" w14:textId="3C67EA25" w:rsidR="007E59EB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Единица учета материальных запасов в учреждении – номенклатурная (реестровая) единица. </w:t>
      </w:r>
    </w:p>
    <w:p w14:paraId="08B96489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87C6B87" w14:textId="66FA8861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84E70">
        <w:rPr>
          <w:rFonts w:hAnsi="Times New Roman" w:cs="Times New Roman"/>
          <w:color w:val="000000"/>
          <w:sz w:val="28"/>
          <w:szCs w:val="28"/>
        </w:rPr>
        <w:t> 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Списание материальных запасов производится по средней фактической стоимости.</w:t>
      </w:r>
    </w:p>
    <w:p w14:paraId="4B5293D1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8360AF5" w14:textId="4F6F7D50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Накладные расходы распределяются между себестоимостью разных видов услуг (готовой продукции) по окончании месяца пропорционально прямым затратам на оплату труда в месяце.</w:t>
      </w:r>
    </w:p>
    <w:p w14:paraId="39FD8DAC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C4F4F04" w14:textId="3FD91806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Денежные средства выдаются под отчет на основании приказа руководителя и служебной записки, согласованной с руководителем. Выдача денежных средств под отчет 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путем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перечисления 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>на зарплатную карту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0C81">
        <w:rPr>
          <w:rFonts w:hAnsi="Times New Roman" w:cs="Times New Roman"/>
          <w:color w:val="000000"/>
          <w:sz w:val="28"/>
          <w:szCs w:val="28"/>
          <w:lang w:val="ru-RU"/>
        </w:rPr>
        <w:t xml:space="preserve">МИР 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="00A60C81">
        <w:rPr>
          <w:rFonts w:hAnsi="Times New Roman" w:cs="Times New Roman"/>
          <w:color w:val="000000"/>
          <w:sz w:val="28"/>
          <w:szCs w:val="28"/>
          <w:lang w:val="ru-RU"/>
        </w:rPr>
        <w:t xml:space="preserve"> в рамках зарплатного проекта</w:t>
      </w:r>
      <w:r w:rsidR="007E59EB"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F30C3AB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9972983" w14:textId="7C8E600C" w:rsidR="00740B67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E0419D" w:rsidRPr="00784E70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784E70">
        <w:rPr>
          <w:rFonts w:hAnsi="Times New Roman" w:cs="Times New Roman"/>
          <w:color w:val="000000"/>
          <w:sz w:val="28"/>
          <w:szCs w:val="28"/>
        </w:rPr>
        <w:t> 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14:paraId="1CCF5C34" w14:textId="77777777" w:rsidR="009102FF" w:rsidRDefault="009102F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720775C" w14:textId="562CC79F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9102FF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невостребованной. Одновременно списанная с балансового учета кредиторская задолженность отражается на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счете </w:t>
      </w:r>
      <w:r w:rsidR="00A24BA6" w:rsidRPr="00784E70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«Задолженность, не востребованная кредиторами».</w:t>
      </w:r>
    </w:p>
    <w:p w14:paraId="738FC622" w14:textId="77777777" w:rsidR="00CF1E45" w:rsidRPr="00784E70" w:rsidRDefault="00C6629F" w:rsidP="001A7CD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забалансового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учета задолженность списывается на основании решения инвентаризационной комиссии учреждения:</w:t>
      </w:r>
    </w:p>
    <w:p w14:paraId="6DB0EBA7" w14:textId="77777777" w:rsidR="00CF1E45" w:rsidRPr="00784E70" w:rsidRDefault="00C6629F" w:rsidP="001A7CDD">
      <w:pPr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по истечении пяти лет отражения задолженности на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учете;</w:t>
      </w:r>
    </w:p>
    <w:p w14:paraId="374D55B0" w14:textId="77777777" w:rsidR="00CF1E45" w:rsidRPr="00784E70" w:rsidRDefault="00C6629F" w:rsidP="001A7CDD">
      <w:pPr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14:paraId="2CDD09B2" w14:textId="77777777" w:rsidR="00CF1E45" w:rsidRDefault="00C6629F" w:rsidP="001A7CDD">
      <w:pPr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при наличии документов, подтверждающих прекращение обязательства в связи со смертью </w:t>
      </w:r>
      <w:r w:rsidRPr="00784E70">
        <w:rPr>
          <w:rFonts w:hAnsi="Times New Roman" w:cs="Times New Roman"/>
          <w:color w:val="000000"/>
          <w:sz w:val="28"/>
          <w:szCs w:val="28"/>
        </w:rPr>
        <w:t>(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ликвидацией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84E70">
        <w:rPr>
          <w:rFonts w:hAnsi="Times New Roman" w:cs="Times New Roman"/>
          <w:color w:val="000000"/>
          <w:sz w:val="28"/>
          <w:szCs w:val="28"/>
        </w:rPr>
        <w:t>контрагента</w:t>
      </w:r>
      <w:proofErr w:type="spellEnd"/>
      <w:r w:rsidRPr="00784E70">
        <w:rPr>
          <w:rFonts w:hAnsi="Times New Roman" w:cs="Times New Roman"/>
          <w:color w:val="000000"/>
          <w:sz w:val="28"/>
          <w:szCs w:val="28"/>
        </w:rPr>
        <w:t>.</w:t>
      </w:r>
    </w:p>
    <w:p w14:paraId="3F3E2FEB" w14:textId="77777777" w:rsidR="001A7CDD" w:rsidRPr="00784E70" w:rsidRDefault="001A7CDD" w:rsidP="001A7CDD">
      <w:pPr>
        <w:spacing w:before="0" w:beforeAutospacing="0" w:after="0" w:afterAutospacing="0"/>
        <w:ind w:left="709"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36C9B374" w14:textId="613F5F04" w:rsidR="00CF1E45" w:rsidRPr="00784E70" w:rsidRDefault="00C6629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9102FF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C41695" w:rsidRPr="00784E70">
        <w:rPr>
          <w:rFonts w:hAnsi="Times New Roman" w:cs="Times New Roman"/>
          <w:color w:val="000000"/>
          <w:sz w:val="28"/>
          <w:szCs w:val="28"/>
          <w:lang w:val="ru-RU"/>
        </w:rPr>
        <w:t>Договоры подряда, возмездного оказания услуг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, срок </w:t>
      </w:r>
      <w:r w:rsidR="00C41695" w:rsidRPr="00784E70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которых </w:t>
      </w:r>
      <w:r w:rsidR="00C41695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не 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превышает один год,</w:t>
      </w:r>
      <w:r w:rsidR="00C41695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но даты начала и окончания исполнения договора приходится на разные отчетные периоды, учитываются как долгосрочные в случа</w:t>
      </w:r>
      <w:r w:rsidR="009377C3" w:rsidRPr="00784E70">
        <w:rPr>
          <w:rFonts w:hAnsi="Times New Roman" w:cs="Times New Roman"/>
          <w:color w:val="000000"/>
          <w:sz w:val="28"/>
          <w:szCs w:val="28"/>
          <w:lang w:val="ru-RU"/>
        </w:rPr>
        <w:t>е если</w:t>
      </w:r>
      <w:r w:rsidR="00C41695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на конец года договор исполнен более чем на 20 процентов.</w:t>
      </w:r>
    </w:p>
    <w:p w14:paraId="7CD3551D" w14:textId="77777777" w:rsidR="009102FF" w:rsidRDefault="009102F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2F62F0C" w14:textId="74729B96" w:rsidR="00CF1E45" w:rsidRPr="00784E70" w:rsidRDefault="00C6629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</w:t>
      </w:r>
      <w:r w:rsidR="009102FF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. В учреждении создаются:</w:t>
      </w:r>
    </w:p>
    <w:p w14:paraId="6977CB41" w14:textId="16F18A92" w:rsidR="00CF1E45" w:rsidRDefault="00C6629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8824AF" w:rsidRPr="00784E70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40B67" w:rsidRPr="00784E70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езерв</w:t>
      </w:r>
      <w:r w:rsidR="00740B67"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 на оплату отпусков</w:t>
      </w: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 xml:space="preserve">. Порядок расчета резерва </w:t>
      </w:r>
      <w:r w:rsidR="00740B67" w:rsidRPr="00784E70">
        <w:rPr>
          <w:rFonts w:hAnsi="Times New Roman" w:cs="Times New Roman"/>
          <w:color w:val="000000"/>
          <w:sz w:val="28"/>
          <w:szCs w:val="28"/>
          <w:lang w:val="ru-RU"/>
        </w:rPr>
        <w:t>приведен в приложении к учетной политике</w:t>
      </w:r>
      <w:r w:rsidR="004E638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8AA1F00" w14:textId="53D69FBD" w:rsid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 по обязательствам, возникающим при поступлении товаров, работ,</w:t>
      </w:r>
      <w:r w:rsidRPr="007556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услуг, закупка которых осуществля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 через ЕИС в сфере закупок;</w:t>
      </w:r>
    </w:p>
    <w:p w14:paraId="4EE28722" w14:textId="6F931F57" w:rsid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 по</w:t>
      </w:r>
      <w:r w:rsidRPr="007556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искам, претензионным требованиям;</w:t>
      </w:r>
    </w:p>
    <w:p w14:paraId="7695451C" w14:textId="1532F6D5" w:rsidR="004E6388" w:rsidRP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Резерв по</w:t>
      </w:r>
      <w:r w:rsidRPr="0075568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гарантийному ремонту;</w:t>
      </w:r>
    </w:p>
    <w:p w14:paraId="3869439E" w14:textId="6CB3DE79" w:rsid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 на</w:t>
      </w:r>
      <w:r w:rsidRPr="007556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оплату обязательств, по</w:t>
      </w:r>
      <w:r w:rsidRPr="0075568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E638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нет документов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5C8E017" w14:textId="364B2A36" w:rsid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 Резерв операционной аренды;</w:t>
      </w:r>
    </w:p>
    <w:p w14:paraId="7C9F35B3" w14:textId="02DC1D4D" w:rsidR="004E6388" w:rsidRDefault="004E6388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 Резерв по сомнительным долгам.</w:t>
      </w:r>
    </w:p>
    <w:p w14:paraId="4FC11227" w14:textId="77777777" w:rsidR="001A7CDD" w:rsidRPr="004E6388" w:rsidRDefault="001A7CDD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143277" w14:textId="683B9E4F" w:rsidR="00CF1E45" w:rsidRPr="00784E70" w:rsidRDefault="00A24BA6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9102FF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14:paraId="75BEFEC8" w14:textId="77777777" w:rsidR="009102FF" w:rsidRDefault="009102F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BE0C644" w14:textId="4E36299F" w:rsidR="00CF1E45" w:rsidRDefault="001A7CDD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9102FF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="00C6629F" w:rsidRPr="00784E70">
        <w:rPr>
          <w:rFonts w:hAnsi="Times New Roman" w:cs="Times New Roman"/>
          <w:color w:val="000000"/>
          <w:sz w:val="28"/>
          <w:szCs w:val="28"/>
          <w:lang w:val="ru-RU"/>
        </w:rPr>
        <w:t>. Бухгалтерская отчетность формируется и хранится в виде электронного документа в информационной системе «Электронный бюджет». Бумажная копия комплекта отчетности хранится у главного бухгалтера.</w:t>
      </w:r>
    </w:p>
    <w:p w14:paraId="3B41357E" w14:textId="77777777" w:rsidR="009102FF" w:rsidRPr="00784E70" w:rsidRDefault="009102F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922D9AB" w14:textId="77777777" w:rsidR="00CF1E45" w:rsidRPr="00784E70" w:rsidRDefault="00C6629F" w:rsidP="001A7CDD">
      <w:pPr>
        <w:spacing w:before="0" w:beforeAutospacing="0" w:after="0" w:afterAutospacing="0"/>
        <w:ind w:right="-45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Отдельными</w:t>
      </w:r>
      <w:r w:rsidR="00DC4AF2"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приложениями</w:t>
      </w:r>
      <w:r w:rsidR="00DC4AF2"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="00DC4AF2"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учетной</w:t>
      </w:r>
      <w:r w:rsidR="00DC4AF2"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политике</w:t>
      </w:r>
      <w:r w:rsidR="00DC4AF2"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84E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оформлены:</w:t>
      </w:r>
    </w:p>
    <w:p w14:paraId="79057372" w14:textId="2E9AA7FB" w:rsidR="00DC4AF2" w:rsidRPr="00784E70" w:rsidRDefault="008824AF" w:rsidP="001A7CDD">
      <w:pPr>
        <w:spacing w:before="0" w:beforeAutospacing="0" w:after="0" w:afterAutospacing="0"/>
        <w:ind w:right="-45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bookmarkStart w:id="0" w:name="_title_8"/>
      <w:bookmarkStart w:id="1" w:name="_ref_584780"/>
      <w:r w:rsidR="000A7443" w:rsidRPr="00784E70">
        <w:rPr>
          <w:rFonts w:ascii="Times New Roman" w:hAnsi="Times New Roman" w:cs="Times New Roman"/>
          <w:sz w:val="28"/>
          <w:szCs w:val="28"/>
          <w:lang w:val="ru-RU"/>
        </w:rPr>
        <w:t>Положение о комиссии по поступлению и выбытию активов</w:t>
      </w:r>
      <w:bookmarkEnd w:id="0"/>
      <w:bookmarkEnd w:id="1"/>
      <w:r w:rsidR="000A7443"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443"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государственного бюджетного учреждения «Федеральный экспертно-правовой центр агропромышленного комплекса»;</w:t>
      </w:r>
    </w:p>
    <w:p w14:paraId="612AE60E" w14:textId="7E2B0180" w:rsidR="00CF1E45" w:rsidRPr="00784E70" w:rsidRDefault="008824AF" w:rsidP="001A7CDD">
      <w:pPr>
        <w:pStyle w:val="1"/>
        <w:spacing w:before="0" w:beforeAutospacing="0" w:after="0" w:afterAutospacing="0"/>
        <w:ind w:right="-45"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lang w:val="ru-RU"/>
        </w:rPr>
      </w:pPr>
      <w:r w:rsidRPr="00784E70">
        <w:rPr>
          <w:rFonts w:ascii="Times New Roman" w:eastAsiaTheme="minorHAnsi" w:hAnsi="Times New Roman" w:cs="Times New Roman"/>
          <w:b w:val="0"/>
          <w:bCs w:val="0"/>
          <w:color w:val="000000"/>
          <w:lang w:val="ru-RU"/>
        </w:rPr>
        <w:t xml:space="preserve">- </w:t>
      </w:r>
      <w:r w:rsidR="000A7443" w:rsidRPr="00784E70">
        <w:rPr>
          <w:rFonts w:ascii="Times New Roman" w:eastAsiaTheme="minorHAnsi" w:hAnsi="Times New Roman" w:cs="Times New Roman"/>
          <w:b w:val="0"/>
          <w:bCs w:val="0"/>
          <w:color w:val="000000"/>
          <w:lang w:val="ru-RU"/>
        </w:rPr>
        <w:t>Положение об инвентаризационной комиссии федерального государственного бюджетного учреждения «Федеральный экспертно-правовой центр агропромышленного комплекса»</w:t>
      </w:r>
      <w:r w:rsidR="00650841" w:rsidRPr="00784E70">
        <w:rPr>
          <w:rFonts w:ascii="Times New Roman" w:eastAsiaTheme="minorHAnsi" w:hAnsi="Times New Roman" w:cs="Times New Roman"/>
          <w:b w:val="0"/>
          <w:bCs w:val="0"/>
          <w:color w:val="000000"/>
          <w:lang w:val="ru-RU"/>
        </w:rPr>
        <w:t>;</w:t>
      </w:r>
    </w:p>
    <w:p w14:paraId="45C89ADA" w14:textId="52E589FA" w:rsidR="00DC4AF2" w:rsidRPr="00784E70" w:rsidRDefault="008824AF" w:rsidP="001A7CDD">
      <w:pPr>
        <w:spacing w:before="0" w:beforeAutospacing="0" w:after="0" w:afterAutospacing="0"/>
        <w:ind w:right="-45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8" w:history="1">
        <w:r w:rsidR="00C049FE" w:rsidRPr="00784E70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ru-RU"/>
          </w:rPr>
          <w:t>П</w:t>
        </w:r>
        <w:r w:rsidR="000A7443" w:rsidRPr="00784E70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ru-RU"/>
          </w:rPr>
          <w:t>рофессиональное суждение главного бухгалтера</w:t>
        </w:r>
      </w:hyperlink>
      <w:r w:rsidR="00C049FE" w:rsidRPr="00784E70">
        <w:rPr>
          <w:rStyle w:val="a5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(форма)</w:t>
      </w:r>
      <w:r w:rsidR="00F177B7" w:rsidRPr="00784E70">
        <w:rPr>
          <w:rStyle w:val="a5"/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  <w:r w:rsidR="000A7443" w:rsidRPr="00784E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BE96906" w14:textId="4AEB2D09" w:rsidR="00DC4AF2" w:rsidRPr="00784E70" w:rsidRDefault="008824AF" w:rsidP="001A7CDD">
      <w:pPr>
        <w:spacing w:before="0" w:beforeAutospacing="0" w:after="0" w:afterAutospacing="0"/>
        <w:ind w:right="-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0A7443" w:rsidRPr="00784E70">
        <w:rPr>
          <w:rStyle w:val="docsupplement-number"/>
          <w:rFonts w:ascii="Times New Roman" w:eastAsia="Times New Roman" w:hAnsi="Times New Roman" w:cs="Times New Roman"/>
          <w:sz w:val="28"/>
          <w:szCs w:val="28"/>
          <w:lang w:val="ru-RU"/>
        </w:rPr>
        <w:t>Рабочий п</w:t>
      </w:r>
      <w:r w:rsidR="000A7443" w:rsidRPr="00784E70">
        <w:rPr>
          <w:rStyle w:val="docsupplement-name"/>
          <w:rFonts w:ascii="Times New Roman" w:eastAsia="Times New Roman" w:hAnsi="Times New Roman" w:cs="Times New Roman"/>
          <w:sz w:val="28"/>
          <w:szCs w:val="28"/>
          <w:lang w:val="ru-RU"/>
        </w:rPr>
        <w:t>лан счетов</w:t>
      </w:r>
      <w:r w:rsidR="00F177B7" w:rsidRPr="00784E70">
        <w:rPr>
          <w:rStyle w:val="docsupplement-name"/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0A7443" w:rsidRPr="00784E70">
        <w:rPr>
          <w:rStyle w:val="docsupplement-name"/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A8B3779" w14:textId="3B2B9DB8" w:rsidR="003130C0" w:rsidRPr="00784E70" w:rsidRDefault="003130C0" w:rsidP="001A7CDD">
      <w:pPr>
        <w:spacing w:before="0" w:beforeAutospacing="0" w:after="0" w:afterAutospacing="0"/>
        <w:ind w:right="-45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4E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542FDE" w:rsidRPr="00784E70">
        <w:rPr>
          <w:rFonts w:ascii="Times New Roman" w:eastAsia="Times New Roman" w:hAnsi="Times New Roman" w:cs="Times New Roman"/>
          <w:sz w:val="28"/>
          <w:szCs w:val="28"/>
          <w:lang w:val="ru-RU"/>
        </w:rPr>
        <w:t>График документооборота;</w:t>
      </w:r>
    </w:p>
    <w:p w14:paraId="2C4C4E63" w14:textId="134E6175" w:rsidR="00CF1E45" w:rsidRPr="00784E70" w:rsidRDefault="008824AF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right="-4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0DE9" w:rsidRPr="00784E70">
        <w:rPr>
          <w:rFonts w:ascii="Times New Roman" w:hAnsi="Times New Roman" w:cs="Times New Roman"/>
          <w:sz w:val="28"/>
          <w:szCs w:val="28"/>
          <w:lang w:val="ru-RU"/>
        </w:rPr>
        <w:t>Самостоятельно разработанные формы первичных учетных документов, применяемые в бухгалтерском учете федерального государственного бюджетного учреждения «Федеральный экспертно-правовой центр агропромышленного комплекса»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6800DD" w14:textId="40FD6F2A" w:rsidR="00CF1E45" w:rsidRPr="00784E70" w:rsidRDefault="008824AF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767A8"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внутреннем </w:t>
      </w:r>
      <w:r w:rsidR="0001202B"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(финансовом) </w:t>
      </w:r>
      <w:r w:rsidR="004767A8" w:rsidRPr="00784E70">
        <w:rPr>
          <w:rFonts w:ascii="Times New Roman" w:hAnsi="Times New Roman" w:cs="Times New Roman"/>
          <w:sz w:val="28"/>
          <w:szCs w:val="28"/>
          <w:lang w:val="ru-RU"/>
        </w:rPr>
        <w:t>контроле в федеральном государственном бюджетном учреждении «Федеральный экспертно-правовой центр агропромышленного комплекса»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F5CA0B" w14:textId="559E77CC" w:rsidR="00CF1E45" w:rsidRPr="00784E70" w:rsidRDefault="008824AF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25FA" w:rsidRPr="00784E70">
        <w:rPr>
          <w:rFonts w:ascii="Times New Roman" w:hAnsi="Times New Roman" w:cs="Times New Roman"/>
          <w:sz w:val="28"/>
          <w:szCs w:val="28"/>
          <w:lang w:val="ru-RU"/>
        </w:rPr>
        <w:t>Журналы операций;</w:t>
      </w:r>
    </w:p>
    <w:p w14:paraId="1654E4D6" w14:textId="3B66A946" w:rsidR="00CF1E45" w:rsidRPr="00784E70" w:rsidRDefault="008824AF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25FA" w:rsidRPr="00784E70">
        <w:rPr>
          <w:rFonts w:ascii="Times New Roman" w:hAnsi="Times New Roman" w:cs="Times New Roman"/>
          <w:sz w:val="28"/>
          <w:szCs w:val="28"/>
          <w:lang w:val="ru-RU"/>
        </w:rPr>
        <w:t>Первичные учетные документы, прилагаемые к журналам операций</w:t>
      </w:r>
      <w:r w:rsidR="00040565" w:rsidRPr="00784E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3A4E33" w14:textId="6C78A5F0" w:rsidR="006976F0" w:rsidRPr="00784E70" w:rsidRDefault="006976F0" w:rsidP="001A7C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049FE" w:rsidRPr="00784E7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кт приема-передачи подарка</w:t>
      </w:r>
      <w:r w:rsidR="00C049FE"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 (форма)</w:t>
      </w:r>
      <w:r w:rsidRPr="00784E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01FDCB" w14:textId="6B82DB46" w:rsidR="006976F0" w:rsidRPr="00784E70" w:rsidRDefault="006976F0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sz w:val="28"/>
          <w:szCs w:val="28"/>
          <w:lang w:val="ru-RU"/>
        </w:rPr>
        <w:t>- Положение о признании дебиторской задолженности сомнительной или</w:t>
      </w: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безнадежной к взысканию</w:t>
      </w:r>
      <w:r w:rsidR="00F177B7"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r w:rsidR="00F177B7" w:rsidRPr="00784E7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федеральном государственном бюджетном </w:t>
      </w:r>
      <w:r w:rsidR="00F177B7" w:rsidRPr="00784E70">
        <w:rPr>
          <w:rFonts w:ascii="Times New Roman" w:hAnsi="Times New Roman" w:cs="Times New Roman"/>
          <w:sz w:val="28"/>
          <w:szCs w:val="28"/>
          <w:lang w:val="ru-RU"/>
        </w:rPr>
        <w:lastRenderedPageBreak/>
        <w:t>учреждении «Федеральный экспертно-правовой центр агропромышленного комплекса»</w:t>
      </w: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14:paraId="3622B12E" w14:textId="25CB87D4" w:rsidR="006976F0" w:rsidRPr="00784E70" w:rsidRDefault="006976F0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 Положение о признании кредиторской задолженности невостребованной</w:t>
      </w:r>
      <w:r w:rsidR="00F177B7"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r w:rsidR="00F177B7" w:rsidRPr="00784E70">
        <w:rPr>
          <w:rFonts w:ascii="Times New Roman" w:hAnsi="Times New Roman" w:cs="Times New Roman"/>
          <w:sz w:val="28"/>
          <w:szCs w:val="28"/>
          <w:lang w:val="ru-RU"/>
        </w:rPr>
        <w:t>федеральном государственном бюджетном учреждении «Федеральный экспертно-правовой центр агропромышленного комплекса»</w:t>
      </w: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14:paraId="287DA535" w14:textId="10EEF5CD" w:rsidR="00AA780E" w:rsidRPr="00784E70" w:rsidRDefault="00AA780E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- Порядок расчета резерва </w:t>
      </w:r>
      <w:bookmarkStart w:id="2" w:name="_GoBack"/>
      <w:r w:rsidR="00323E6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 выплатам</w:t>
      </w:r>
      <w:r w:rsidR="00323E61"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bookmarkEnd w:id="2"/>
      <w:r w:rsidR="007267E9"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работникам по ежегодным оплачиваемым отпускам</w:t>
      </w: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14:paraId="5F2A5545" w14:textId="2E8DF1F1" w:rsidR="00AA780E" w:rsidRPr="00784E70" w:rsidRDefault="00AA780E" w:rsidP="001A7CD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784E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84E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Порядок принятия обязательств;</w:t>
      </w:r>
    </w:p>
    <w:p w14:paraId="0FD2A80F" w14:textId="168774A8" w:rsidR="006C6678" w:rsidRPr="00784E70" w:rsidRDefault="00AA780E" w:rsidP="001A7CDD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84E7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- </w:t>
      </w:r>
      <w:r w:rsidRPr="00784E70">
        <w:rPr>
          <w:rFonts w:ascii="Times New Roman" w:hAnsi="Times New Roman"/>
          <w:b w:val="0"/>
          <w:sz w:val="28"/>
          <w:szCs w:val="28"/>
        </w:rPr>
        <w:t>Положение об инвентаризации</w:t>
      </w:r>
      <w:r w:rsidR="00F177B7" w:rsidRPr="00784E70">
        <w:rPr>
          <w:rFonts w:ascii="Times New Roman" w:hAnsi="Times New Roman"/>
          <w:b w:val="0"/>
          <w:sz w:val="28"/>
          <w:szCs w:val="28"/>
        </w:rPr>
        <w:t xml:space="preserve"> в федеральном государственном бюджетном учреждении «Федеральный экспертно-правовой центр агропромышленного комплекса»</w:t>
      </w:r>
      <w:r w:rsidR="006C6678" w:rsidRPr="00784E70">
        <w:rPr>
          <w:rFonts w:ascii="Times New Roman" w:hAnsi="Times New Roman"/>
          <w:b w:val="0"/>
          <w:sz w:val="28"/>
          <w:szCs w:val="28"/>
        </w:rPr>
        <w:t>;</w:t>
      </w:r>
    </w:p>
    <w:p w14:paraId="702C3C76" w14:textId="65931D28" w:rsidR="006C6678" w:rsidRPr="00784E70" w:rsidRDefault="006C6678" w:rsidP="001A7CDD">
      <w:pPr>
        <w:spacing w:before="0" w:beforeAutospacing="0" w:after="0" w:afterAutospacing="0"/>
        <w:ind w:firstLine="709"/>
        <w:jc w:val="both"/>
        <w:rPr>
          <w:rFonts w:ascii="Times New Roman" w:eastAsiaTheme="majorEastAsia" w:hAnsi="Times New Roman" w:cs="Times New Roman"/>
          <w:bCs/>
          <w:kern w:val="28"/>
          <w:sz w:val="28"/>
          <w:szCs w:val="28"/>
          <w:lang w:val="ru-RU"/>
        </w:rPr>
      </w:pPr>
      <w:r w:rsidRPr="00784E70">
        <w:rPr>
          <w:sz w:val="28"/>
          <w:szCs w:val="28"/>
          <w:lang w:val="ru-RU"/>
        </w:rPr>
        <w:tab/>
      </w:r>
      <w:r w:rsidRPr="00784E70">
        <w:rPr>
          <w:rFonts w:ascii="Times New Roman" w:eastAsiaTheme="majorEastAsia" w:hAnsi="Times New Roman" w:cs="Times New Roman"/>
          <w:bCs/>
          <w:kern w:val="28"/>
          <w:sz w:val="28"/>
          <w:szCs w:val="28"/>
          <w:lang w:val="ru-RU"/>
        </w:rPr>
        <w:t xml:space="preserve">- Порядок признания в бухгалтерском учете и раскрытия </w:t>
      </w:r>
      <w:r w:rsidRPr="00784E70">
        <w:rPr>
          <w:rFonts w:ascii="Times New Roman" w:eastAsiaTheme="majorEastAsia" w:hAnsi="Times New Roman" w:cs="Times New Roman"/>
          <w:bCs/>
          <w:kern w:val="28"/>
          <w:sz w:val="28"/>
          <w:szCs w:val="28"/>
          <w:lang w:val="ru-RU"/>
        </w:rPr>
        <w:br/>
        <w:t>в бухгалтерской отчетности событий после отчетной даты.</w:t>
      </w:r>
    </w:p>
    <w:p w14:paraId="4758075A" w14:textId="171ED3C0" w:rsidR="00AA780E" w:rsidRPr="001A648D" w:rsidRDefault="00AA780E" w:rsidP="001A7CDD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780E" w:rsidRPr="001A648D" w:rsidSect="001A7CDD">
      <w:headerReference w:type="default" r:id="rId9"/>
      <w:pgSz w:w="11907" w:h="1683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B9CB" w14:textId="77777777" w:rsidR="009B042A" w:rsidRDefault="009B042A" w:rsidP="009B042A">
      <w:pPr>
        <w:spacing w:before="0" w:after="0"/>
      </w:pPr>
      <w:r>
        <w:separator/>
      </w:r>
    </w:p>
  </w:endnote>
  <w:endnote w:type="continuationSeparator" w:id="0">
    <w:p w14:paraId="6A488635" w14:textId="77777777" w:rsidR="009B042A" w:rsidRDefault="009B042A" w:rsidP="009B04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EE729" w14:textId="77777777" w:rsidR="009B042A" w:rsidRDefault="009B042A" w:rsidP="009B042A">
      <w:pPr>
        <w:spacing w:before="0" w:after="0"/>
      </w:pPr>
      <w:r>
        <w:separator/>
      </w:r>
    </w:p>
  </w:footnote>
  <w:footnote w:type="continuationSeparator" w:id="0">
    <w:p w14:paraId="366B1140" w14:textId="77777777" w:rsidR="009B042A" w:rsidRDefault="009B042A" w:rsidP="009B04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556053"/>
      <w:docPartObj>
        <w:docPartGallery w:val="Page Numbers (Top of Page)"/>
        <w:docPartUnique/>
      </w:docPartObj>
    </w:sdtPr>
    <w:sdtEndPr/>
    <w:sdtContent>
      <w:p w14:paraId="2E771E3C" w14:textId="72AFB771" w:rsidR="009B042A" w:rsidRDefault="009B042A" w:rsidP="001A7C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F1" w:rsidRPr="00B43EF1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0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A6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5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A3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11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25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07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E2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463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23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F1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202B"/>
    <w:rsid w:val="00040565"/>
    <w:rsid w:val="000A7443"/>
    <w:rsid w:val="00107C55"/>
    <w:rsid w:val="00121937"/>
    <w:rsid w:val="001A7CDD"/>
    <w:rsid w:val="001D25FA"/>
    <w:rsid w:val="00227285"/>
    <w:rsid w:val="002D33B1"/>
    <w:rsid w:val="002D3591"/>
    <w:rsid w:val="00305C9F"/>
    <w:rsid w:val="00311059"/>
    <w:rsid w:val="003130C0"/>
    <w:rsid w:val="00323E61"/>
    <w:rsid w:val="003514A0"/>
    <w:rsid w:val="003D11CF"/>
    <w:rsid w:val="003D4F6C"/>
    <w:rsid w:val="0044212C"/>
    <w:rsid w:val="00450933"/>
    <w:rsid w:val="004767A8"/>
    <w:rsid w:val="004D1ADF"/>
    <w:rsid w:val="004E6388"/>
    <w:rsid w:val="004F7E17"/>
    <w:rsid w:val="005359CC"/>
    <w:rsid w:val="00542FDE"/>
    <w:rsid w:val="00590DE9"/>
    <w:rsid w:val="005A05CE"/>
    <w:rsid w:val="00623A1E"/>
    <w:rsid w:val="00650841"/>
    <w:rsid w:val="00653AF6"/>
    <w:rsid w:val="006976F0"/>
    <w:rsid w:val="006A4BBE"/>
    <w:rsid w:val="006B5FEB"/>
    <w:rsid w:val="006C6678"/>
    <w:rsid w:val="006F5747"/>
    <w:rsid w:val="007267E9"/>
    <w:rsid w:val="00740B67"/>
    <w:rsid w:val="00784E70"/>
    <w:rsid w:val="007B22DB"/>
    <w:rsid w:val="007C37FF"/>
    <w:rsid w:val="007E59EB"/>
    <w:rsid w:val="007F18D3"/>
    <w:rsid w:val="00816EB1"/>
    <w:rsid w:val="008824AF"/>
    <w:rsid w:val="008F65A5"/>
    <w:rsid w:val="009102FF"/>
    <w:rsid w:val="009377C3"/>
    <w:rsid w:val="009B042A"/>
    <w:rsid w:val="009E7334"/>
    <w:rsid w:val="00A24BA6"/>
    <w:rsid w:val="00A25CA7"/>
    <w:rsid w:val="00A300F0"/>
    <w:rsid w:val="00A60C81"/>
    <w:rsid w:val="00AA780E"/>
    <w:rsid w:val="00AB05E6"/>
    <w:rsid w:val="00AB3812"/>
    <w:rsid w:val="00AB3A86"/>
    <w:rsid w:val="00AE3943"/>
    <w:rsid w:val="00B43EF1"/>
    <w:rsid w:val="00B73A5A"/>
    <w:rsid w:val="00B90BB5"/>
    <w:rsid w:val="00BC4480"/>
    <w:rsid w:val="00C049FE"/>
    <w:rsid w:val="00C41695"/>
    <w:rsid w:val="00C6629F"/>
    <w:rsid w:val="00C758F8"/>
    <w:rsid w:val="00CF1E45"/>
    <w:rsid w:val="00D1547D"/>
    <w:rsid w:val="00D330D1"/>
    <w:rsid w:val="00DA7A4F"/>
    <w:rsid w:val="00DC4AF2"/>
    <w:rsid w:val="00E0419D"/>
    <w:rsid w:val="00E12BEE"/>
    <w:rsid w:val="00E23CEF"/>
    <w:rsid w:val="00E438A1"/>
    <w:rsid w:val="00E64CAF"/>
    <w:rsid w:val="00F01E19"/>
    <w:rsid w:val="00F177B7"/>
    <w:rsid w:val="00FA5417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7289F"/>
  <w15:docId w15:val="{0957BC7F-D46E-4B37-B735-6A5B6158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Revision"/>
    <w:hidden/>
    <w:uiPriority w:val="99"/>
    <w:semiHidden/>
    <w:rsid w:val="00311059"/>
    <w:pPr>
      <w:spacing w:before="0" w:beforeAutospacing="0" w:after="0" w:afterAutospacing="0"/>
    </w:pPr>
  </w:style>
  <w:style w:type="paragraph" w:styleId="a4">
    <w:name w:val="List Paragraph"/>
    <w:basedOn w:val="a"/>
    <w:uiPriority w:val="34"/>
    <w:qFormat/>
    <w:rsid w:val="00450933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0A7443"/>
    <w:rPr>
      <w:rFonts w:cs="Times New Roman"/>
      <w:b w:val="0"/>
      <w:color w:val="106BBE"/>
    </w:rPr>
  </w:style>
  <w:style w:type="character" w:customStyle="1" w:styleId="docsupplement-number">
    <w:name w:val="docsupplement-number"/>
    <w:basedOn w:val="a0"/>
    <w:rsid w:val="000A7443"/>
  </w:style>
  <w:style w:type="character" w:customStyle="1" w:styleId="docsupplement-name">
    <w:name w:val="docsupplement-name"/>
    <w:basedOn w:val="a0"/>
    <w:rsid w:val="000A7443"/>
  </w:style>
  <w:style w:type="paragraph" w:styleId="a6">
    <w:name w:val="Title"/>
    <w:basedOn w:val="a"/>
    <w:next w:val="a"/>
    <w:link w:val="a7"/>
    <w:uiPriority w:val="10"/>
    <w:qFormat/>
    <w:rsid w:val="00AA780E"/>
    <w:pPr>
      <w:spacing w:before="240" w:beforeAutospacing="0" w:after="60" w:afterAutospacing="0"/>
      <w:ind w:firstLine="539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ru-RU"/>
    </w:rPr>
  </w:style>
  <w:style w:type="character" w:customStyle="1" w:styleId="a7">
    <w:name w:val="Название Знак"/>
    <w:basedOn w:val="a0"/>
    <w:link w:val="a6"/>
    <w:uiPriority w:val="10"/>
    <w:rsid w:val="00AA780E"/>
    <w:rPr>
      <w:rFonts w:asciiTheme="majorHAnsi" w:eastAsiaTheme="majorEastAsia" w:hAnsiTheme="majorHAnsi" w:cs="Times New Roman"/>
      <w:b/>
      <w:bCs/>
      <w:kern w:val="28"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B042A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9B042A"/>
  </w:style>
  <w:style w:type="paragraph" w:styleId="aa">
    <w:name w:val="footer"/>
    <w:basedOn w:val="a"/>
    <w:link w:val="ab"/>
    <w:uiPriority w:val="99"/>
    <w:unhideWhenUsed/>
    <w:rsid w:val="009B042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9B042A"/>
  </w:style>
  <w:style w:type="paragraph" w:styleId="ac">
    <w:name w:val="Balloon Text"/>
    <w:basedOn w:val="a"/>
    <w:link w:val="ad"/>
    <w:uiPriority w:val="99"/>
    <w:semiHidden/>
    <w:unhideWhenUsed/>
    <w:rsid w:val="00323E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630290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l.gundyreva</dc:creator>
  <dc:description>Подготовлено экспертами Актион-МЦФЭР</dc:description>
  <cp:lastModifiedBy>u.koller</cp:lastModifiedBy>
  <cp:revision>50</cp:revision>
  <dcterms:created xsi:type="dcterms:W3CDTF">2025-12-24T14:08:00Z</dcterms:created>
  <dcterms:modified xsi:type="dcterms:W3CDTF">2025-12-29T10:40:00Z</dcterms:modified>
</cp:coreProperties>
</file>