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6AFD9" w14:textId="77777777" w:rsidR="00CF1E45" w:rsidRDefault="00CF1E45">
      <w:pPr>
        <w:rPr>
          <w:rFonts w:hAnsi="Times New Roman" w:cs="Times New Roman"/>
          <w:color w:val="000000"/>
          <w:sz w:val="24"/>
          <w:szCs w:val="24"/>
        </w:rPr>
      </w:pPr>
    </w:p>
    <w:p w14:paraId="7504FEA1" w14:textId="77777777" w:rsidR="00CF1E45" w:rsidRPr="00AB05E6" w:rsidRDefault="00C662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B05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положения учетной политики (выдержки)</w:t>
      </w:r>
    </w:p>
    <w:p w14:paraId="5BA96EC8" w14:textId="77777777" w:rsidR="00AB05E6" w:rsidRDefault="00AB05E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Федерального г</w:t>
      </w:r>
      <w:r w:rsidR="00C6629F" w:rsidRPr="00AB05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осударственного бюджетного учреждения</w:t>
      </w:r>
    </w:p>
    <w:p w14:paraId="0E0BD815" w14:textId="06FE5EBA" w:rsidR="00CF1E45" w:rsidRDefault="00C6629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B05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B05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«Федеральный экспертно-правовой центр </w:t>
      </w:r>
      <w:r w:rsidR="009377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агропромышленного комплекса</w:t>
      </w:r>
      <w:r w:rsidR="00AB05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14:paraId="776D66E8" w14:textId="77777777" w:rsidR="00AB05E6" w:rsidRPr="00AB05E6" w:rsidRDefault="00AB05E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B11C4D9" w14:textId="77777777" w:rsidR="00CF1E45" w:rsidRPr="00AB05E6" w:rsidRDefault="00C6629F" w:rsidP="003110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требованиями пункта 9 Стандарта «Учетная политика, оценочные значения и ошибки», утвержденного приказом Минфина от 30.12.2017 № 274н, на официальном сайте учреждения размещается информация об учетной политике.</w:t>
      </w:r>
    </w:p>
    <w:p w14:paraId="33B98855" w14:textId="5D86597F" w:rsidR="00CF1E45" w:rsidRPr="00AB05E6" w:rsidRDefault="00C6629F" w:rsidP="003110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>Учетная политика</w:t>
      </w:r>
      <w:r w:rsidR="00AB05E6">
        <w:rPr>
          <w:rFonts w:hAnsi="Times New Roman" w:cs="Times New Roman"/>
          <w:color w:val="000000"/>
          <w:sz w:val="24"/>
          <w:szCs w:val="24"/>
          <w:lang w:val="ru-RU"/>
        </w:rPr>
        <w:t xml:space="preserve"> Ф</w:t>
      </w:r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>ГБУ «</w:t>
      </w:r>
      <w:r w:rsidR="00AB05E6">
        <w:rPr>
          <w:rFonts w:hAnsi="Times New Roman" w:cs="Times New Roman"/>
          <w:color w:val="000000"/>
          <w:sz w:val="24"/>
          <w:szCs w:val="24"/>
          <w:lang w:val="ru-RU"/>
        </w:rPr>
        <w:t>ФЭПЦ АПК</w:t>
      </w:r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 xml:space="preserve">» утверждена приказом от </w:t>
      </w:r>
      <w:r w:rsidR="009E7334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>.12.202</w:t>
      </w:r>
      <w:r w:rsidR="00FF791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77C3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</w:t>
      </w:r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AB05E6">
        <w:rPr>
          <w:rFonts w:hAnsi="Times New Roman" w:cs="Times New Roman"/>
          <w:color w:val="000000"/>
          <w:sz w:val="24"/>
          <w:szCs w:val="24"/>
          <w:lang w:val="ru-RU"/>
        </w:rPr>
        <w:t>02/02/</w:t>
      </w:r>
      <w:r w:rsidR="00FF791B">
        <w:rPr>
          <w:rFonts w:hAnsi="Times New Roman" w:cs="Times New Roman"/>
          <w:color w:val="000000"/>
          <w:sz w:val="24"/>
          <w:szCs w:val="24"/>
          <w:lang w:val="ru-RU"/>
        </w:rPr>
        <w:t>41</w:t>
      </w:r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FAFF400" w14:textId="77777777" w:rsidR="00CF1E45" w:rsidRPr="00AB05E6" w:rsidRDefault="00C6629F" w:rsidP="003110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>1. Бухгалтерский учет ведет структурное подразделение – бухгалтерия, возглавляемая главным бухгалтером. Сотрудники бухгалтерии руководствуются в работе положением о бухгалтерии, должностными инструкциями.</w:t>
      </w:r>
    </w:p>
    <w:p w14:paraId="4C309D02" w14:textId="77777777" w:rsidR="00CF1E45" w:rsidRPr="00AB05E6" w:rsidRDefault="00C6629F" w:rsidP="003110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>Ответственным за ведение бухгалтерского учета в учреждении является главный бухгалтер.</w:t>
      </w:r>
    </w:p>
    <w:p w14:paraId="00043D0F" w14:textId="0F0EEF8D" w:rsidR="00CF1E45" w:rsidRPr="00AB05E6" w:rsidRDefault="008F65A5" w:rsidP="003110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C6629F" w:rsidRPr="00AB05E6">
        <w:rPr>
          <w:rFonts w:hAnsi="Times New Roman" w:cs="Times New Roman"/>
          <w:color w:val="000000"/>
          <w:sz w:val="24"/>
          <w:szCs w:val="24"/>
          <w:lang w:val="ru-RU"/>
        </w:rPr>
        <w:t>. Бухгалтерский учет ведется в электронном виде с применением программных продуктов</w:t>
      </w:r>
      <w:r w:rsidR="00AB05E6">
        <w:rPr>
          <w:rFonts w:hAnsi="Times New Roman" w:cs="Times New Roman"/>
          <w:color w:val="000000"/>
          <w:sz w:val="24"/>
          <w:szCs w:val="24"/>
          <w:lang w:val="ru-RU"/>
        </w:rPr>
        <w:t xml:space="preserve"> «1С</w:t>
      </w:r>
      <w:r w:rsidR="009377C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AB05E6">
        <w:rPr>
          <w:rFonts w:hAnsi="Times New Roman" w:cs="Times New Roman"/>
          <w:color w:val="000000"/>
          <w:sz w:val="24"/>
          <w:szCs w:val="24"/>
          <w:lang w:val="ru-RU"/>
        </w:rPr>
        <w:t>Предприятие 8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.3</w:t>
      </w:r>
      <w:r w:rsidR="00AB05E6">
        <w:rPr>
          <w:rFonts w:hAnsi="Times New Roman" w:cs="Times New Roman"/>
          <w:color w:val="000000"/>
          <w:sz w:val="24"/>
          <w:szCs w:val="24"/>
          <w:lang w:val="ru-RU"/>
        </w:rPr>
        <w:t>. Бухгалтерия государственного учреждения» и</w:t>
      </w:r>
      <w:r w:rsidR="00C6629F" w:rsidRPr="00AB0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05E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AB0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377C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AB05E6">
        <w:rPr>
          <w:rFonts w:hAnsi="Times New Roman" w:cs="Times New Roman"/>
          <w:color w:val="000000"/>
          <w:sz w:val="24"/>
          <w:szCs w:val="24"/>
          <w:lang w:val="ru-RU"/>
        </w:rPr>
        <w:t>Зарплата и кадры государственного учреждения», редакция 8.3</w:t>
      </w:r>
      <w:r w:rsidR="009377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DA70812" w14:textId="77777777" w:rsidR="00CF1E45" w:rsidRPr="00AB05E6" w:rsidRDefault="008F65A5" w:rsidP="003110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6629F" w:rsidRPr="00AB05E6">
        <w:rPr>
          <w:rFonts w:hAnsi="Times New Roman" w:cs="Times New Roman"/>
          <w:color w:val="000000"/>
          <w:sz w:val="24"/>
          <w:szCs w:val="24"/>
          <w:lang w:val="ru-RU"/>
        </w:rPr>
        <w:t>.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направлениям:</w:t>
      </w:r>
    </w:p>
    <w:p w14:paraId="4BED670B" w14:textId="77777777" w:rsidR="00CF1E45" w:rsidRPr="00AB05E6" w:rsidRDefault="00C6629F" w:rsidP="0031105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proofErr w:type="gramEnd"/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 xml:space="preserve"> электронного документооборота с территориальным органом Федерального казначейства;</w:t>
      </w:r>
    </w:p>
    <w:p w14:paraId="6D96E3CA" w14:textId="77777777" w:rsidR="00CF1E45" w:rsidRDefault="00C6629F" w:rsidP="0031105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передача</w:t>
      </w:r>
      <w:proofErr w:type="spellEnd"/>
      <w:r w:rsidR="003D11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бухгалтерской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отчетности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учредителю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0ADB192" w14:textId="77777777" w:rsidR="00CF1E45" w:rsidRDefault="00C6629F" w:rsidP="0031105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proofErr w:type="gramEnd"/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 xml:space="preserve"> отчетности по налогам, сборам и иным обязательным платежам в </w:t>
      </w:r>
      <w:r w:rsidR="00DC4A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 xml:space="preserve">нспекцию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налоговой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службы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2820B2D" w14:textId="77777777" w:rsidR="003D11CF" w:rsidRDefault="003D11CF" w:rsidP="0031105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отчетности и сведений для начисления пособий в фонд Социального страхования</w:t>
      </w:r>
      <w:r w:rsidR="009377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1F38EB8" w14:textId="310B02DD" w:rsidR="003D11CF" w:rsidRPr="003D11CF" w:rsidRDefault="003D11CF" w:rsidP="0031105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отчетности в органы Статистики</w:t>
      </w:r>
      <w:r w:rsidR="009377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7B70CB9" w14:textId="77777777" w:rsidR="00CF1E45" w:rsidRPr="00AB05E6" w:rsidRDefault="00C6629F" w:rsidP="0031105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proofErr w:type="gramEnd"/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 xml:space="preserve"> отчетности в отделение Пенсионного фонда;</w:t>
      </w:r>
    </w:p>
    <w:p w14:paraId="046FF3EC" w14:textId="482A4603" w:rsidR="00CF1E45" w:rsidRDefault="00C6629F" w:rsidP="0031105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proofErr w:type="gramEnd"/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информации о деятельности учреждения на официальном сайте </w:t>
      </w:r>
      <w:r>
        <w:rPr>
          <w:rFonts w:hAnsi="Times New Roman" w:cs="Times New Roman"/>
          <w:color w:val="000000"/>
          <w:sz w:val="24"/>
          <w:szCs w:val="24"/>
        </w:rPr>
        <w:t>bus</w:t>
      </w:r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gov</w:t>
      </w:r>
      <w:proofErr w:type="spellEnd"/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F31A27C" w14:textId="5E94AE2B" w:rsidR="00450933" w:rsidRPr="00816EB1" w:rsidRDefault="00450933" w:rsidP="0045093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5093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5093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бмен</w:t>
      </w:r>
      <w:proofErr w:type="gramEnd"/>
      <w:r w:rsidRPr="004509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финансовыми и</w:t>
      </w:r>
      <w:r w:rsidRPr="0045093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5093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другими документами с</w:t>
      </w:r>
      <w:r w:rsidRPr="0045093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5093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территориальным органом Федерального казначейства осуществляется в</w:t>
      </w:r>
      <w:r w:rsidRPr="0045093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509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системе удаленного финансового документооборота органов Федерального казначейства</w:t>
      </w:r>
      <w:r w:rsidRPr="0045093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50933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СУФД-</w:t>
      </w:r>
      <w:r w:rsidRPr="00450933">
        <w:rPr>
          <w:rFonts w:ascii="Times New Roman" w:hAnsi="Times New Roman" w:cs="Times New Roman"/>
          <w:color w:val="000000"/>
          <w:sz w:val="24"/>
          <w:szCs w:val="24"/>
        </w:rPr>
        <w:t>online</w:t>
      </w:r>
      <w:r w:rsidRPr="0045093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8EA8164" w14:textId="516C1660" w:rsidR="00816EB1" w:rsidRDefault="00816EB1" w:rsidP="00816EB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A34342" w14:textId="24580CE0" w:rsidR="00816EB1" w:rsidRDefault="00816EB1" w:rsidP="00816EB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11AED6" w14:textId="77777777" w:rsidR="00816EB1" w:rsidRDefault="00816EB1" w:rsidP="00816EB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4. </w:t>
      </w:r>
      <w:r w:rsidRPr="00816EB1">
        <w:rPr>
          <w:rFonts w:ascii="Times New Roman" w:hAnsi="Times New Roman" w:cs="Times New Roman"/>
          <w:sz w:val="24"/>
          <w:szCs w:val="24"/>
          <w:lang w:val="ru-RU"/>
        </w:rPr>
        <w:t xml:space="preserve">Дата перехода Учреждения на применение электронных документов – </w:t>
      </w:r>
      <w:r w:rsidRPr="00816EB1">
        <w:rPr>
          <w:rFonts w:ascii="Times New Roman" w:hAnsi="Times New Roman" w:cs="Times New Roman"/>
          <w:sz w:val="24"/>
          <w:szCs w:val="24"/>
          <w:lang w:val="ru-RU"/>
        </w:rPr>
        <w:br/>
        <w:t>31 марта 2023 г.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0F2B54E" w14:textId="06243B07" w:rsidR="00816EB1" w:rsidRPr="00816EB1" w:rsidRDefault="00816EB1" w:rsidP="00816EB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6EB1">
        <w:rPr>
          <w:rFonts w:ascii="Times New Roman" w:hAnsi="Times New Roman" w:cs="Times New Roman"/>
          <w:sz w:val="24"/>
          <w:szCs w:val="24"/>
          <w:lang w:val="ru-RU"/>
        </w:rPr>
        <w:t>Сроки формирования, подписания, утверждения электронных документов, а также передачи электронных документов для отражения в бухгалтерском учете определены в Графике документооборота электронных документов, формы которых утверждены</w:t>
      </w:r>
      <w:r w:rsidRPr="00816EB1">
        <w:rPr>
          <w:rFonts w:ascii="Times New Roman" w:hAnsi="Times New Roman" w:cs="Times New Roman"/>
          <w:sz w:val="24"/>
          <w:szCs w:val="24"/>
        </w:rPr>
        <w:t> </w:t>
      </w:r>
      <w:hyperlink r:id="rId5" w:anchor="/document/400766923/entry/0" w:history="1">
        <w:r w:rsidRPr="00816EB1">
          <w:rPr>
            <w:rFonts w:ascii="Times New Roman" w:hAnsi="Times New Roman" w:cs="Times New Roman"/>
            <w:sz w:val="24"/>
            <w:szCs w:val="24"/>
            <w:lang w:val="ru-RU"/>
          </w:rPr>
          <w:t>приказом</w:t>
        </w:r>
      </w:hyperlink>
      <w:r w:rsidRPr="00816EB1">
        <w:rPr>
          <w:rFonts w:ascii="Times New Roman" w:hAnsi="Times New Roman" w:cs="Times New Roman"/>
          <w:sz w:val="24"/>
          <w:szCs w:val="24"/>
        </w:rPr>
        <w:t> </w:t>
      </w:r>
      <w:r w:rsidRPr="00816EB1">
        <w:rPr>
          <w:rFonts w:ascii="Times New Roman" w:hAnsi="Times New Roman" w:cs="Times New Roman"/>
          <w:sz w:val="24"/>
          <w:szCs w:val="24"/>
          <w:lang w:val="ru-RU"/>
        </w:rPr>
        <w:t>Минфина России от 15.04.2021 № 61</w:t>
      </w:r>
      <w:r w:rsidR="00FF791B">
        <w:rPr>
          <w:rFonts w:ascii="Times New Roman" w:hAnsi="Times New Roman" w:cs="Times New Roman"/>
          <w:sz w:val="24"/>
          <w:szCs w:val="24"/>
          <w:lang w:val="ru-RU"/>
        </w:rPr>
        <w:t>н.</w:t>
      </w:r>
    </w:p>
    <w:p w14:paraId="55ED48A0" w14:textId="0420F3C3" w:rsidR="00CF1E45" w:rsidRPr="00AB05E6" w:rsidRDefault="00816EB1" w:rsidP="003110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C6629F" w:rsidRPr="00AB05E6">
        <w:rPr>
          <w:rFonts w:hAnsi="Times New Roman" w:cs="Times New Roman"/>
          <w:color w:val="000000"/>
          <w:sz w:val="24"/>
          <w:szCs w:val="24"/>
          <w:lang w:val="ru-RU"/>
        </w:rPr>
        <w:t>. При оформлении фактов хозяйственной жизни применяются унифицированные формы первичных учетных документов</w:t>
      </w:r>
      <w:r w:rsidR="00C6629F">
        <w:rPr>
          <w:rFonts w:hAnsi="Times New Roman" w:cs="Times New Roman"/>
          <w:color w:val="000000"/>
          <w:sz w:val="24"/>
          <w:szCs w:val="24"/>
        </w:rPr>
        <w:t> </w:t>
      </w:r>
      <w:r w:rsidR="00C6629F" w:rsidRPr="00AB05E6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приказом Минфина</w:t>
      </w:r>
      <w:r w:rsidR="00C6629F">
        <w:rPr>
          <w:rFonts w:hAnsi="Times New Roman" w:cs="Times New Roman"/>
          <w:color w:val="000000"/>
          <w:sz w:val="24"/>
          <w:szCs w:val="24"/>
        </w:rPr>
        <w:t> </w:t>
      </w:r>
      <w:r w:rsidR="00C6629F" w:rsidRPr="00AB05E6">
        <w:rPr>
          <w:rFonts w:hAnsi="Times New Roman" w:cs="Times New Roman"/>
          <w:color w:val="000000"/>
          <w:sz w:val="24"/>
          <w:szCs w:val="24"/>
          <w:lang w:val="ru-RU"/>
        </w:rPr>
        <w:t>№ 52н. При оформлении фактов хозяйственной жизни, по которым не предусмотрены типовые формы, применяются формы, установленные приложени</w:t>
      </w:r>
      <w:r w:rsidR="003D11CF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="00C6629F" w:rsidRPr="00AB0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D11C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C6629F" w:rsidRPr="00AB05E6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учетной политике.</w:t>
      </w:r>
    </w:p>
    <w:p w14:paraId="0B07FC31" w14:textId="36F91F82" w:rsidR="00623A1E" w:rsidRDefault="00816EB1" w:rsidP="003110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C6629F" w:rsidRPr="00AB05E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D11CF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Данные про</w:t>
      </w:r>
      <w:r w:rsidR="00623A1E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="003D11CF">
        <w:rPr>
          <w:rFonts w:hAnsi="Times New Roman" w:cs="Times New Roman"/>
          <w:color w:val="000000"/>
          <w:sz w:val="24"/>
          <w:szCs w:val="24"/>
          <w:lang w:val="ru-RU"/>
        </w:rPr>
        <w:t>ед</w:t>
      </w:r>
      <w:r w:rsidR="00623A1E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="003D11CF">
        <w:rPr>
          <w:rFonts w:hAnsi="Times New Roman" w:cs="Times New Roman"/>
          <w:color w:val="000000"/>
          <w:sz w:val="24"/>
          <w:szCs w:val="24"/>
          <w:lang w:val="ru-RU"/>
        </w:rPr>
        <w:t xml:space="preserve">их внутренний </w:t>
      </w:r>
      <w:r w:rsidR="00FF791B">
        <w:rPr>
          <w:rFonts w:hAnsi="Times New Roman" w:cs="Times New Roman"/>
          <w:color w:val="000000"/>
          <w:sz w:val="24"/>
          <w:szCs w:val="24"/>
          <w:lang w:val="ru-RU"/>
        </w:rPr>
        <w:t xml:space="preserve">финансовый </w:t>
      </w:r>
      <w:r w:rsidR="003D11CF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="00623A1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3D11CF">
        <w:rPr>
          <w:rFonts w:hAnsi="Times New Roman" w:cs="Times New Roman"/>
          <w:color w:val="000000"/>
          <w:sz w:val="24"/>
          <w:szCs w:val="24"/>
          <w:lang w:val="ru-RU"/>
        </w:rPr>
        <w:t>троль</w:t>
      </w:r>
      <w:r w:rsidR="00623A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D11CF">
        <w:rPr>
          <w:rFonts w:hAnsi="Times New Roman" w:cs="Times New Roman"/>
          <w:color w:val="000000"/>
          <w:sz w:val="24"/>
          <w:szCs w:val="24"/>
          <w:lang w:val="ru-RU"/>
        </w:rPr>
        <w:t>первичных учетных документов регистрируются, систематизируются и накапливаются в регистрах</w:t>
      </w:r>
      <w:r w:rsidR="00623A1E">
        <w:rPr>
          <w:rFonts w:hAnsi="Times New Roman" w:cs="Times New Roman"/>
          <w:color w:val="000000"/>
          <w:sz w:val="24"/>
          <w:szCs w:val="24"/>
          <w:lang w:val="ru-RU"/>
        </w:rPr>
        <w:t>, составленных по унифицированным формам.</w:t>
      </w:r>
    </w:p>
    <w:p w14:paraId="4C62A404" w14:textId="18FCA7DD" w:rsidR="00CF1E45" w:rsidRPr="00AB05E6" w:rsidRDefault="00816EB1" w:rsidP="003110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C6629F" w:rsidRPr="00AB05E6">
        <w:rPr>
          <w:rFonts w:hAnsi="Times New Roman" w:cs="Times New Roman"/>
          <w:color w:val="000000"/>
          <w:sz w:val="24"/>
          <w:szCs w:val="24"/>
          <w:lang w:val="ru-RU"/>
        </w:rPr>
        <w:t xml:space="preserve">. Инвентаризация активов и обязательств </w:t>
      </w:r>
      <w:r w:rsidR="00623A1E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Учреждения </w:t>
      </w:r>
      <w:r w:rsidR="00C6629F" w:rsidRPr="00AB05E6">
        <w:rPr>
          <w:rFonts w:hAnsi="Times New Roman" w:cs="Times New Roman"/>
          <w:color w:val="000000"/>
          <w:sz w:val="24"/>
          <w:szCs w:val="24"/>
          <w:lang w:val="ru-RU"/>
        </w:rPr>
        <w:t>проводится в соответствии с</w:t>
      </w:r>
      <w:r w:rsidR="00623A1E">
        <w:rPr>
          <w:rFonts w:hAnsi="Times New Roman" w:cs="Times New Roman"/>
          <w:color w:val="000000"/>
          <w:sz w:val="24"/>
          <w:szCs w:val="24"/>
          <w:lang w:val="ru-RU"/>
        </w:rPr>
        <w:t>о статьей 11 Федерального закона 402-ФЗ, с приказом Минфина России от 13 июня 1995 г. №49 «Об утверждении методических указаний по инвентаризации имущества и финансовых обязательств».</w:t>
      </w:r>
      <w:r w:rsidR="00AE3943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Основанием для проведения инвентаризации является приказ</w:t>
      </w:r>
      <w:r w:rsidR="009377C3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руководителя</w:t>
      </w:r>
      <w:r w:rsidR="00AE3943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Учреждения.</w:t>
      </w:r>
    </w:p>
    <w:p w14:paraId="7F3AFA7A" w14:textId="0822C3A2" w:rsidR="00CF1E45" w:rsidRPr="00AB05E6" w:rsidRDefault="00816EB1" w:rsidP="003110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C6629F" w:rsidRPr="00AB05E6">
        <w:rPr>
          <w:rFonts w:hAnsi="Times New Roman" w:cs="Times New Roman"/>
          <w:color w:val="000000"/>
          <w:sz w:val="24"/>
          <w:szCs w:val="24"/>
          <w:lang w:val="ru-RU"/>
        </w:rPr>
        <w:t>. Для случаев, которые не установлены в федеральных стандартах и других нормативно-правовых актах, регулирующих бухучет, метод определения справедливой стоимости выбирает комиссия учреждения по поступлению и выбытию активов.</w:t>
      </w:r>
    </w:p>
    <w:p w14:paraId="14A81009" w14:textId="00A6C104" w:rsidR="00CF1E45" w:rsidRPr="00AB05E6" w:rsidRDefault="00816EB1" w:rsidP="003110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C6629F" w:rsidRPr="00AB05E6">
        <w:rPr>
          <w:rFonts w:hAnsi="Times New Roman" w:cs="Times New Roman"/>
          <w:color w:val="000000"/>
          <w:sz w:val="24"/>
          <w:szCs w:val="24"/>
          <w:lang w:val="ru-RU"/>
        </w:rPr>
        <w:t>. В случае если для показателя, необходимого для ведения бухгалтерского учета, не установлен метод оценки в законодательстве и в учетной политике, то величина оценочного показателя определяется профессиональным суждением главного бухгалтера.</w:t>
      </w:r>
    </w:p>
    <w:p w14:paraId="0E7BEA89" w14:textId="22224958" w:rsidR="00CF1E45" w:rsidRPr="00AB05E6" w:rsidRDefault="00816EB1" w:rsidP="003110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C6629F" w:rsidRPr="00AB05E6">
        <w:rPr>
          <w:rFonts w:hAnsi="Times New Roman" w:cs="Times New Roman"/>
          <w:color w:val="000000"/>
          <w:sz w:val="24"/>
          <w:szCs w:val="24"/>
          <w:lang w:val="ru-RU"/>
        </w:rPr>
        <w:t>. Учреждение учитывает в составе основных средств материальные объекты имущества</w:t>
      </w:r>
      <w:r w:rsidR="00C6629F">
        <w:rPr>
          <w:rFonts w:hAnsi="Times New Roman" w:cs="Times New Roman"/>
          <w:color w:val="000000"/>
          <w:sz w:val="24"/>
          <w:szCs w:val="24"/>
        </w:rPr>
        <w:t> </w:t>
      </w:r>
      <w:r w:rsidR="00C6629F" w:rsidRPr="00AB05E6">
        <w:rPr>
          <w:rFonts w:hAnsi="Times New Roman" w:cs="Times New Roman"/>
          <w:color w:val="000000"/>
          <w:sz w:val="24"/>
          <w:szCs w:val="24"/>
          <w:lang w:val="ru-RU"/>
        </w:rPr>
        <w:t>независимо от их стоимости</w:t>
      </w:r>
      <w:r w:rsidR="00C6629F">
        <w:rPr>
          <w:rFonts w:hAnsi="Times New Roman" w:cs="Times New Roman"/>
          <w:color w:val="000000"/>
          <w:sz w:val="24"/>
          <w:szCs w:val="24"/>
        </w:rPr>
        <w:t> </w:t>
      </w:r>
      <w:r w:rsidR="00C6629F" w:rsidRPr="00AB05E6">
        <w:rPr>
          <w:rFonts w:hAnsi="Times New Roman" w:cs="Times New Roman"/>
          <w:color w:val="000000"/>
          <w:sz w:val="24"/>
          <w:szCs w:val="24"/>
          <w:lang w:val="ru-RU"/>
        </w:rPr>
        <w:t xml:space="preserve">со сроком полезного использования более 12 месяцев, а также бесконтактные термометры, диспенсеры для антисептиков, штампы, печати и инвентарь. </w:t>
      </w:r>
    </w:p>
    <w:p w14:paraId="42E14543" w14:textId="605C4FC2" w:rsidR="00CF1E45" w:rsidRPr="00AB05E6" w:rsidRDefault="00C6629F" w:rsidP="003110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16EB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 xml:space="preserve">. В один инвентарный объект, признаваемый комплексом объектов основных средств, объединяются объекты имущества несущественной стоимости, имеющие одинаковые </w:t>
      </w:r>
      <w:proofErr w:type="gramStart"/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proofErr w:type="gramEnd"/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 xml:space="preserve"> полезного и ожидаемого использования</w:t>
      </w:r>
      <w:r w:rsidR="00AE394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572AFDB8" w14:textId="768575D0" w:rsidR="00CF1E45" w:rsidRPr="00AB05E6" w:rsidRDefault="00AE3943" w:rsidP="003110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16EB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.Стоимость объектов </w:t>
      </w:r>
      <w:r w:rsidR="009377C3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основных средств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 считается</w:t>
      </w:r>
      <w:r w:rsidR="00C6629F" w:rsidRPr="00AB05E6">
        <w:rPr>
          <w:rFonts w:hAnsi="Times New Roman" w:cs="Times New Roman"/>
          <w:color w:val="000000"/>
          <w:sz w:val="24"/>
          <w:szCs w:val="24"/>
          <w:lang w:val="ru-RU"/>
        </w:rPr>
        <w:t xml:space="preserve"> существенной </w:t>
      </w:r>
      <w:r w:rsidR="009377C3">
        <w:rPr>
          <w:rFonts w:hAnsi="Times New Roman" w:cs="Times New Roman"/>
          <w:color w:val="000000"/>
          <w:sz w:val="24"/>
          <w:szCs w:val="24"/>
          <w:lang w:val="ru-RU"/>
        </w:rPr>
        <w:t xml:space="preserve">при </w:t>
      </w:r>
      <w:r w:rsidR="009377C3" w:rsidRPr="00AB05E6">
        <w:rPr>
          <w:rFonts w:hAnsi="Times New Roman" w:cs="Times New Roman"/>
          <w:color w:val="000000"/>
          <w:sz w:val="24"/>
          <w:szCs w:val="24"/>
          <w:lang w:val="ru-RU"/>
        </w:rPr>
        <w:t>стоимост</w:t>
      </w:r>
      <w:r w:rsidR="009377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377C3" w:rsidRPr="00AB0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77C3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="009377C3" w:rsidRPr="00AB0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C6629F" w:rsidRPr="00AB05E6">
        <w:rPr>
          <w:rFonts w:hAnsi="Times New Roman" w:cs="Times New Roman"/>
          <w:color w:val="000000"/>
          <w:sz w:val="24"/>
          <w:szCs w:val="24"/>
          <w:lang w:val="ru-RU"/>
        </w:rPr>
        <w:t>0 000 руб. за один имущественный объект. Необходимость объединения и конкретный перечень объединяемых объектов определяет комиссия учреждения по поступлению и выбытию активов.</w:t>
      </w:r>
    </w:p>
    <w:p w14:paraId="275468A4" w14:textId="6AB32216" w:rsidR="00CF1E45" w:rsidRPr="008F65A5" w:rsidRDefault="00AE3943" w:rsidP="003110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16EB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В сл</w:t>
      </w:r>
      <w:r w:rsidR="00C6629F" w:rsidRPr="00AB05E6">
        <w:rPr>
          <w:rFonts w:hAnsi="Times New Roman" w:cs="Times New Roman"/>
          <w:color w:val="000000"/>
          <w:sz w:val="24"/>
          <w:szCs w:val="24"/>
          <w:lang w:val="ru-RU"/>
        </w:rPr>
        <w:t xml:space="preserve">учае частичной ликвидации или </w:t>
      </w:r>
      <w:proofErr w:type="spellStart"/>
      <w:r w:rsidR="00C6629F" w:rsidRPr="00AB05E6">
        <w:rPr>
          <w:rFonts w:hAnsi="Times New Roman" w:cs="Times New Roman"/>
          <w:color w:val="000000"/>
          <w:sz w:val="24"/>
          <w:szCs w:val="24"/>
          <w:lang w:val="ru-RU"/>
        </w:rPr>
        <w:t>разукомплектации</w:t>
      </w:r>
      <w:proofErr w:type="spellEnd"/>
      <w:r w:rsidR="00C6629F" w:rsidRPr="00AB05E6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объекта основного средства, если стоимость ликвидируемых (разукомплектованных) частей не выделена в документах поставщика, стоимость таких частей определяется пропорционально следующему показателю </w:t>
      </w:r>
      <w:r w:rsidR="00C6629F" w:rsidRPr="008F65A5">
        <w:rPr>
          <w:rFonts w:hAnsi="Times New Roman" w:cs="Times New Roman"/>
          <w:color w:val="000000"/>
          <w:sz w:val="24"/>
          <w:szCs w:val="24"/>
          <w:lang w:val="ru-RU"/>
        </w:rPr>
        <w:t>(в порядке убывания важности):</w:t>
      </w:r>
    </w:p>
    <w:p w14:paraId="6C3F2B86" w14:textId="77777777" w:rsidR="00CF1E45" w:rsidRDefault="00C6629F" w:rsidP="0031105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площади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E75AC9D" w14:textId="77777777" w:rsidR="00CF1E45" w:rsidRDefault="00C6629F" w:rsidP="0031105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36BE379" w14:textId="77777777" w:rsidR="00CF1E45" w:rsidRDefault="00C6629F" w:rsidP="0031105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весу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D0243AB" w14:textId="77777777" w:rsidR="00CF1E45" w:rsidRPr="00AB05E6" w:rsidRDefault="00C6629F" w:rsidP="00311059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>иному</w:t>
      </w:r>
      <w:proofErr w:type="gramEnd"/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показателю, установленному комиссией по поступлению и выбытию активов.</w:t>
      </w:r>
    </w:p>
    <w:p w14:paraId="4AEABF20" w14:textId="3B225639" w:rsidR="007E59EB" w:rsidRDefault="00C6629F" w:rsidP="003110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16EB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>. Затраты</w:t>
      </w:r>
      <w:r w:rsidR="00AE3943">
        <w:rPr>
          <w:rFonts w:hAnsi="Times New Roman" w:cs="Times New Roman"/>
          <w:color w:val="000000"/>
          <w:sz w:val="24"/>
          <w:szCs w:val="24"/>
          <w:lang w:val="ru-RU"/>
        </w:rPr>
        <w:t>, возникающие</w:t>
      </w:r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проведении ремонтов (модернизаций, </w:t>
      </w:r>
      <w:proofErr w:type="spellStart"/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>дооборудований</w:t>
      </w:r>
      <w:proofErr w:type="spellEnd"/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>, реконструкций, в том числе с элементами реставраций, технических перевооружений) формируют объем капитальных вложений с дальнейшим признанием в стоимости объекта основных средств.</w:t>
      </w:r>
    </w:p>
    <w:p w14:paraId="2AB31DD2" w14:textId="0F35B1EA" w:rsidR="007E59EB" w:rsidRDefault="00C6629F" w:rsidP="003110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16EB1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>. Начисление амортизации основных средств осуществляется</w:t>
      </w:r>
      <w:r w:rsidR="00AE3943">
        <w:rPr>
          <w:rFonts w:hAnsi="Times New Roman" w:cs="Times New Roman"/>
          <w:color w:val="000000"/>
          <w:sz w:val="24"/>
          <w:szCs w:val="24"/>
          <w:lang w:val="ru-RU"/>
        </w:rPr>
        <w:t xml:space="preserve"> линейным методом</w:t>
      </w:r>
      <w:r w:rsidR="007E59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48BCA0C" w14:textId="38F0367E" w:rsidR="00CF1E45" w:rsidRPr="00AB05E6" w:rsidRDefault="007E59EB" w:rsidP="003110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16EB1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При переоценке объекта ОС сумма накопленной амортизации, исчисленная на дату </w:t>
      </w:r>
      <w:r w:rsidR="00C6629F" w:rsidRPr="00AB05E6">
        <w:rPr>
          <w:rFonts w:hAnsi="Times New Roman" w:cs="Times New Roman"/>
          <w:color w:val="000000"/>
          <w:sz w:val="24"/>
          <w:szCs w:val="24"/>
          <w:lang w:val="ru-RU"/>
        </w:rPr>
        <w:t>переоценки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C6629F" w:rsidRPr="00AB05E6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пересчитывается пропорционально изменению первоначальной стоимости объекта таким образом, чтобы его остаточная стоимость после переоценки равнялась его переоцененной стоимости. При этом балансовая стоимость и накопленная амортизация увеличиваются (умножаются) на одинаковый коэффициент таким образом, чтобы при их суммировании получить переоцененную стоимость на дату проведения переоценки.</w:t>
      </w:r>
    </w:p>
    <w:p w14:paraId="71D2F025" w14:textId="003C40DA" w:rsidR="00CF1E45" w:rsidRPr="00AB05E6" w:rsidRDefault="00C6629F" w:rsidP="003110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16EB1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 xml:space="preserve">. Основные средства стоимостью до 10 000 руб. включительно, находящиеся в эксплуатации, учитываются на </w:t>
      </w:r>
      <w:proofErr w:type="spellStart"/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счете 21 по балансовой стоимости.</w:t>
      </w:r>
    </w:p>
    <w:p w14:paraId="4453A7B6" w14:textId="20830567" w:rsidR="00CF1E45" w:rsidRPr="00AB05E6" w:rsidRDefault="00C6629F" w:rsidP="003110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16EB1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>Расходы на доставку нескольких имущественных объектов распределяются в первоначальную стоимость этих объектов пропорционально их стоимости, указанной в договоре поставки.</w:t>
      </w:r>
    </w:p>
    <w:p w14:paraId="5855DD16" w14:textId="203110C7" w:rsidR="00CF1E45" w:rsidRPr="00AB05E6" w:rsidRDefault="00C6629F" w:rsidP="003110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16EB1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>. Начисление амортизации нематериальных активов осуществляется</w:t>
      </w:r>
      <w:r w:rsidR="007E59EB">
        <w:rPr>
          <w:rFonts w:hAnsi="Times New Roman" w:cs="Times New Roman"/>
          <w:color w:val="000000"/>
          <w:sz w:val="24"/>
          <w:szCs w:val="24"/>
          <w:lang w:val="ru-RU"/>
        </w:rPr>
        <w:t xml:space="preserve"> линейным методом.</w:t>
      </w:r>
    </w:p>
    <w:p w14:paraId="710F8B60" w14:textId="14089FDC" w:rsidR="00CF1E45" w:rsidRPr="00AB05E6" w:rsidRDefault="00816EB1" w:rsidP="003110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="00C6629F" w:rsidRPr="00AB05E6">
        <w:rPr>
          <w:rFonts w:hAnsi="Times New Roman" w:cs="Times New Roman"/>
          <w:color w:val="000000"/>
          <w:sz w:val="24"/>
          <w:szCs w:val="24"/>
          <w:lang w:val="ru-RU"/>
        </w:rPr>
        <w:t>. Учреждение учитывает в составе материальных запасов материальные объекты, указанные в пунктах 98–99 Инструкции к Единому плану счетов № 157н</w:t>
      </w:r>
      <w:r w:rsidR="00A24B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C62E1C6" w14:textId="7F02E545" w:rsidR="007E59EB" w:rsidRDefault="00C6629F" w:rsidP="003110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816EB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 xml:space="preserve">. Единица учета материальных запасов в учреждении – номенклатурная (реестровая) единица. </w:t>
      </w:r>
    </w:p>
    <w:p w14:paraId="787C6B87" w14:textId="203757CD" w:rsidR="00CF1E45" w:rsidRPr="00AB05E6" w:rsidRDefault="00C6629F" w:rsidP="003110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816EB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>Списание материальных запасов производится по средней фактической стоимости.</w:t>
      </w:r>
    </w:p>
    <w:p w14:paraId="58360AF5" w14:textId="7B5C4BE3" w:rsidR="00CF1E45" w:rsidRPr="00AB05E6" w:rsidRDefault="00C6629F" w:rsidP="003110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816EB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>. Накладные расходы распределяются между себестоимостью разных видов услуг (готовой продукции) по окончании месяца пропорционально прямым затратам на оплату труда в месяце.</w:t>
      </w:r>
    </w:p>
    <w:p w14:paraId="2C4F4F04" w14:textId="675B8374" w:rsidR="00CF1E45" w:rsidRPr="00AB05E6" w:rsidRDefault="00C6629F" w:rsidP="003110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816EB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 xml:space="preserve">. Денежные средства выдаются под отчет на основании приказа руководителя или служебной записки, согласованной с руководителем. </w:t>
      </w:r>
      <w:r w:rsidRPr="007E59EB">
        <w:rPr>
          <w:rFonts w:hAnsi="Times New Roman" w:cs="Times New Roman"/>
          <w:color w:val="000000"/>
          <w:sz w:val="24"/>
          <w:szCs w:val="24"/>
          <w:lang w:val="ru-RU"/>
        </w:rPr>
        <w:t xml:space="preserve">Выдача денежных средств под отчет </w:t>
      </w:r>
      <w:r w:rsidR="007E59E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9377C3">
        <w:rPr>
          <w:rFonts w:hAnsi="Times New Roman" w:cs="Times New Roman"/>
          <w:color w:val="000000"/>
          <w:sz w:val="24"/>
          <w:szCs w:val="24"/>
          <w:lang w:val="ru-RU"/>
        </w:rPr>
        <w:t xml:space="preserve"> путем</w:t>
      </w:r>
      <w:r w:rsidR="007E5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77C3">
        <w:rPr>
          <w:rFonts w:hAnsi="Times New Roman" w:cs="Times New Roman"/>
          <w:color w:val="000000"/>
          <w:sz w:val="24"/>
          <w:szCs w:val="24"/>
          <w:lang w:val="ru-RU"/>
        </w:rPr>
        <w:t xml:space="preserve">перечисления </w:t>
      </w:r>
      <w:r w:rsidR="007E59EB">
        <w:rPr>
          <w:rFonts w:hAnsi="Times New Roman" w:cs="Times New Roman"/>
          <w:color w:val="000000"/>
          <w:sz w:val="24"/>
          <w:szCs w:val="24"/>
          <w:lang w:val="ru-RU"/>
        </w:rPr>
        <w:t>на зарплатную карту</w:t>
      </w:r>
      <w:r w:rsidR="009377C3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работника</w:t>
      </w:r>
      <w:r w:rsidR="007E59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9972983" w14:textId="67A5C027" w:rsidR="00740B67" w:rsidRDefault="00C6629F" w:rsidP="003110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816EB1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>Денежные средства от виновных лиц в возмещение ущерба, причиненного нефинансовым активам, отражаются по коду вида деятельности «2» – приносящая доход деятельность (собственные доходы учреждения).</w:t>
      </w:r>
    </w:p>
    <w:p w14:paraId="3720775C" w14:textId="39DC493B" w:rsidR="00CF1E45" w:rsidRPr="00AB05E6" w:rsidRDefault="00C6629F" w:rsidP="003110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</w:t>
      </w:r>
      <w:r w:rsidR="00816EB1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 xml:space="preserve">. Кредиторская задолженность, не востребованная кредитором, списывается на финансовый результат на основании решения инвентаризационной комиссии о признании задолженности невостребованной. Одновременно списанная с балансового учета кредиторская задолженность отражается на </w:t>
      </w:r>
      <w:proofErr w:type="spellStart"/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счете </w:t>
      </w:r>
      <w:r w:rsidR="00A24BA6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 xml:space="preserve"> «Задолженность, не востребованная кредиторами».</w:t>
      </w:r>
    </w:p>
    <w:p w14:paraId="738FC622" w14:textId="77777777" w:rsidR="00CF1E45" w:rsidRPr="00AB05E6" w:rsidRDefault="00C6629F" w:rsidP="003110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proofErr w:type="spellStart"/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>забалансового</w:t>
      </w:r>
      <w:proofErr w:type="spellEnd"/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учета задолженность списывается на основании решения инвентаризационной комиссии учреждения:</w:t>
      </w:r>
    </w:p>
    <w:p w14:paraId="6DB0EBA7" w14:textId="77777777" w:rsidR="00CF1E45" w:rsidRPr="00AB05E6" w:rsidRDefault="00C6629F" w:rsidP="00311059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 xml:space="preserve"> истечении пяти лет отражения задолженности на </w:t>
      </w:r>
      <w:proofErr w:type="spellStart"/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учете;</w:t>
      </w:r>
    </w:p>
    <w:p w14:paraId="374D55B0" w14:textId="77777777" w:rsidR="00CF1E45" w:rsidRPr="00AB05E6" w:rsidRDefault="00C6629F" w:rsidP="00311059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 xml:space="preserve"> завершении срока возможного возобновления процедуры взыскания задолженности – согласно действующему законодательству;</w:t>
      </w:r>
    </w:p>
    <w:p w14:paraId="2CDD09B2" w14:textId="77777777" w:rsidR="00CF1E45" w:rsidRDefault="00C6629F" w:rsidP="00311059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proofErr w:type="gramEnd"/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 xml:space="preserve"> наличии документов, подтверждающих прекращение обязательства в связи со смертью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ликвидацией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контрагента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6C9B374" w14:textId="31AB8682" w:rsidR="00CF1E45" w:rsidRPr="00AB05E6" w:rsidRDefault="00C6629F" w:rsidP="003110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816EB1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C41695">
        <w:rPr>
          <w:rFonts w:hAnsi="Times New Roman" w:cs="Times New Roman"/>
          <w:color w:val="000000"/>
          <w:sz w:val="24"/>
          <w:szCs w:val="24"/>
          <w:lang w:val="ru-RU"/>
        </w:rPr>
        <w:t>Договоры подряда, возмездного оказания услуг</w:t>
      </w:r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 xml:space="preserve">, срок </w:t>
      </w:r>
      <w:r w:rsidR="00C41695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 xml:space="preserve"> которых </w:t>
      </w:r>
      <w:r w:rsidR="00C41695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>превышает один год,</w:t>
      </w:r>
      <w:r w:rsidR="00C41695">
        <w:rPr>
          <w:rFonts w:hAnsi="Times New Roman" w:cs="Times New Roman"/>
          <w:color w:val="000000"/>
          <w:sz w:val="24"/>
          <w:szCs w:val="24"/>
          <w:lang w:val="ru-RU"/>
        </w:rPr>
        <w:t xml:space="preserve"> но даты начала и окончания исполнения договора приходится на разные отчетные периоды, учитываются как долгосрочные в случа</w:t>
      </w:r>
      <w:r w:rsidR="009377C3">
        <w:rPr>
          <w:rFonts w:hAnsi="Times New Roman" w:cs="Times New Roman"/>
          <w:color w:val="000000"/>
          <w:sz w:val="24"/>
          <w:szCs w:val="24"/>
          <w:lang w:val="ru-RU"/>
        </w:rPr>
        <w:t>е если</w:t>
      </w:r>
      <w:r w:rsidR="00C41695">
        <w:rPr>
          <w:rFonts w:hAnsi="Times New Roman" w:cs="Times New Roman"/>
          <w:color w:val="000000"/>
          <w:sz w:val="24"/>
          <w:szCs w:val="24"/>
          <w:lang w:val="ru-RU"/>
        </w:rPr>
        <w:t xml:space="preserve"> на конец года договор исполнен более чем на 20 процентов.</w:t>
      </w:r>
    </w:p>
    <w:p w14:paraId="72F62F0C" w14:textId="5B34F54F" w:rsidR="00CF1E45" w:rsidRPr="00AB05E6" w:rsidRDefault="00C6629F" w:rsidP="003110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816EB1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>. В учреждении создаются:</w:t>
      </w:r>
    </w:p>
    <w:p w14:paraId="6977CB41" w14:textId="3555634E" w:rsidR="00CF1E45" w:rsidRPr="00AB05E6" w:rsidRDefault="00C6629F" w:rsidP="003110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824AF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40B67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>езерв</w:t>
      </w:r>
      <w:r w:rsidR="00740B67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оплату отпусков</w:t>
      </w:r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 xml:space="preserve">. Порядок расчета резерва </w:t>
      </w:r>
      <w:r w:rsidR="00740B67">
        <w:rPr>
          <w:rFonts w:hAnsi="Times New Roman" w:cs="Times New Roman"/>
          <w:color w:val="000000"/>
          <w:sz w:val="24"/>
          <w:szCs w:val="24"/>
          <w:lang w:val="ru-RU"/>
        </w:rPr>
        <w:t>приведен в приложении к учетной политике</w:t>
      </w:r>
      <w:r w:rsidR="008824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3BD6C08" w14:textId="6626B607" w:rsidR="00CF1E45" w:rsidRPr="00AB05E6" w:rsidRDefault="00C6629F" w:rsidP="003110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8824AF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40B67">
        <w:rPr>
          <w:rFonts w:hAnsi="Times New Roman" w:cs="Times New Roman"/>
          <w:color w:val="000000"/>
          <w:sz w:val="24"/>
          <w:szCs w:val="24"/>
          <w:lang w:val="ru-RU"/>
        </w:rPr>
        <w:t>Резерв сомнительной задолженности</w:t>
      </w:r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 xml:space="preserve">. Величина резерва устанавливается в размере претензии, предъявленной учреждению в судебном иске. В случае если иск будет отозван или не </w:t>
      </w:r>
      <w:r w:rsidR="008824AF">
        <w:rPr>
          <w:rFonts w:hAnsi="Times New Roman" w:cs="Times New Roman"/>
          <w:color w:val="000000"/>
          <w:sz w:val="24"/>
          <w:szCs w:val="24"/>
          <w:lang w:val="ru-RU"/>
        </w:rPr>
        <w:t>удовлетворен</w:t>
      </w:r>
      <w:r w:rsidR="008824AF">
        <w:rPr>
          <w:rFonts w:hAnsi="Times New Roman" w:cs="Times New Roman"/>
          <w:color w:val="000000"/>
          <w:sz w:val="24"/>
          <w:szCs w:val="24"/>
        </w:rPr>
        <w:t> </w:t>
      </w:r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 xml:space="preserve">судом, сумма резерва списывается с учета методом «красное </w:t>
      </w:r>
      <w:proofErr w:type="spellStart"/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>сторно</w:t>
      </w:r>
      <w:proofErr w:type="spellEnd"/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14:paraId="04E64C92" w14:textId="5E1BF0EC" w:rsidR="00CF1E45" w:rsidRPr="00AB05E6" w:rsidRDefault="00C6629F" w:rsidP="003110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8824AF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4AF2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AB05E6">
        <w:rPr>
          <w:rFonts w:hAnsi="Times New Roman" w:cs="Times New Roman"/>
          <w:color w:val="000000"/>
          <w:sz w:val="24"/>
          <w:szCs w:val="24"/>
          <w:lang w:val="ru-RU"/>
        </w:rPr>
        <w:t>езерв по гарантийному ремонту. Определяется на текущий год в первый рабочий день года на основе плановых показателей годовой выручки от реализации подлежащих гарантийному ремонту изделий. Величина резерва равна доле фактических расходов на гарантийный ремонт за предшествующие три года в объеме выручки за предшествующие три года.</w:t>
      </w:r>
    </w:p>
    <w:p w14:paraId="12143277" w14:textId="1D66F00A" w:rsidR="00CF1E45" w:rsidRPr="00AB05E6" w:rsidRDefault="00A24BA6" w:rsidP="003110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816EB1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C6629F" w:rsidRPr="00AB05E6">
        <w:rPr>
          <w:rFonts w:hAnsi="Times New Roman" w:cs="Times New Roman"/>
          <w:color w:val="000000"/>
          <w:sz w:val="24"/>
          <w:szCs w:val="24"/>
          <w:lang w:val="ru-RU"/>
        </w:rPr>
        <w:t>.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оттоками.</w:t>
      </w:r>
    </w:p>
    <w:p w14:paraId="2BE0C644" w14:textId="42E8211A" w:rsidR="00CF1E45" w:rsidRPr="00AB05E6" w:rsidRDefault="00816EB1" w:rsidP="003110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="00C6629F" w:rsidRPr="00AB05E6">
        <w:rPr>
          <w:rFonts w:hAnsi="Times New Roman" w:cs="Times New Roman"/>
          <w:color w:val="000000"/>
          <w:sz w:val="24"/>
          <w:szCs w:val="24"/>
          <w:lang w:val="ru-RU"/>
        </w:rPr>
        <w:t>. Бухгалтерская отчетность формируется и хранится в виде электронного документа в информационной системе «</w:t>
      </w:r>
      <w:r w:rsidR="00C6629F">
        <w:rPr>
          <w:rFonts w:hAnsi="Times New Roman" w:cs="Times New Roman"/>
          <w:color w:val="000000"/>
          <w:sz w:val="24"/>
          <w:szCs w:val="24"/>
          <w:lang w:val="ru-RU"/>
        </w:rPr>
        <w:t>Электронный б</w:t>
      </w:r>
      <w:r w:rsidR="00C6629F" w:rsidRPr="00AB05E6">
        <w:rPr>
          <w:rFonts w:hAnsi="Times New Roman" w:cs="Times New Roman"/>
          <w:color w:val="000000"/>
          <w:sz w:val="24"/>
          <w:szCs w:val="24"/>
          <w:lang w:val="ru-RU"/>
        </w:rPr>
        <w:t>юджет». Бумажная копия комплекта отчетности хранится у главного бухгалтера.</w:t>
      </w:r>
    </w:p>
    <w:p w14:paraId="6922D9AB" w14:textId="77777777" w:rsidR="00CF1E45" w:rsidRPr="00AB05E6" w:rsidRDefault="00C6629F" w:rsidP="003110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05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Отдельными</w:t>
      </w:r>
      <w:r w:rsidR="00DC4A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05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приложениями</w:t>
      </w:r>
      <w:r w:rsidR="00DC4A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05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DC4A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05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учетной</w:t>
      </w:r>
      <w:r w:rsidR="00DC4A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05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политике</w:t>
      </w:r>
      <w:r w:rsidR="00DC4A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05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оформлены:</w:t>
      </w:r>
    </w:p>
    <w:p w14:paraId="79057372" w14:textId="77777777" w:rsidR="00DC4AF2" w:rsidRDefault="008824AF" w:rsidP="003110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C4AF2">
        <w:rPr>
          <w:rFonts w:hAnsi="Times New Roman" w:cs="Times New Roman"/>
          <w:color w:val="000000"/>
          <w:sz w:val="24"/>
          <w:szCs w:val="24"/>
          <w:lang w:val="ru-RU"/>
        </w:rPr>
        <w:t>Положение о</w:t>
      </w:r>
      <w:r w:rsidR="00C6629F" w:rsidRPr="00AB05E6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по поступлению и выбытию активов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12AE60E" w14:textId="77777777" w:rsidR="00CF1E45" w:rsidRDefault="008824AF" w:rsidP="003110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C4AF2">
        <w:rPr>
          <w:rFonts w:hAnsi="Times New Roman" w:cs="Times New Roman"/>
          <w:color w:val="000000"/>
          <w:sz w:val="24"/>
          <w:szCs w:val="24"/>
          <w:lang w:val="ru-RU"/>
        </w:rPr>
        <w:t>Порядок формирования и отражения в бухгалтерском учете резервов предстоящих расходов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5C89ADA" w14:textId="77777777" w:rsidR="00DC4AF2" w:rsidRDefault="008824AF" w:rsidP="003110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DC4AF2">
        <w:rPr>
          <w:rFonts w:hAnsi="Times New Roman" w:cs="Times New Roman"/>
          <w:color w:val="000000"/>
          <w:sz w:val="24"/>
          <w:szCs w:val="24"/>
          <w:lang w:val="ru-RU"/>
        </w:rPr>
        <w:t>Порядок передачи документов бухгалтерского учета при смене главного бухгалтера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BE96906" w14:textId="70F67A01" w:rsidR="00DC4AF2" w:rsidRDefault="008824AF" w:rsidP="003110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C4AF2">
        <w:rPr>
          <w:rFonts w:hAnsi="Times New Roman" w:cs="Times New Roman"/>
          <w:color w:val="000000"/>
          <w:sz w:val="24"/>
          <w:szCs w:val="24"/>
          <w:lang w:val="ru-RU"/>
        </w:rPr>
        <w:t>Статус объектов учета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46EDE21" w14:textId="77777777" w:rsidR="00DC4AF2" w:rsidRPr="00AB05E6" w:rsidRDefault="008824AF" w:rsidP="003110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C4AF2">
        <w:rPr>
          <w:rFonts w:hAnsi="Times New Roman" w:cs="Times New Roman"/>
          <w:color w:val="000000"/>
          <w:sz w:val="24"/>
          <w:szCs w:val="24"/>
          <w:lang w:val="ru-RU"/>
        </w:rPr>
        <w:t>Порядок расчетов с подотчетными лицами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C4C4E63" w14:textId="77777777" w:rsidR="00CF1E45" w:rsidRPr="00AB05E6" w:rsidRDefault="008824AF" w:rsidP="003110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6629F" w:rsidRPr="00AB05E6">
        <w:rPr>
          <w:rFonts w:hAnsi="Times New Roman" w:cs="Times New Roman"/>
          <w:color w:val="000000"/>
          <w:sz w:val="24"/>
          <w:szCs w:val="24"/>
          <w:lang w:val="ru-RU"/>
        </w:rPr>
        <w:t>Рабочий план счетов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66800DD" w14:textId="77777777" w:rsidR="00CF1E45" w:rsidRPr="00AB05E6" w:rsidRDefault="008824AF" w:rsidP="003110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6629F" w:rsidRPr="00AB05E6">
        <w:rPr>
          <w:rFonts w:hAnsi="Times New Roman" w:cs="Times New Roman"/>
          <w:color w:val="000000"/>
          <w:sz w:val="24"/>
          <w:szCs w:val="24"/>
          <w:lang w:val="ru-RU"/>
        </w:rPr>
        <w:t>Санкционирование расходов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EF5CA0B" w14:textId="77777777" w:rsidR="00CF1E45" w:rsidRPr="00AB05E6" w:rsidRDefault="008824AF" w:rsidP="003110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6629F" w:rsidRPr="00AB05E6">
        <w:rPr>
          <w:rFonts w:hAnsi="Times New Roman" w:cs="Times New Roman"/>
          <w:color w:val="000000"/>
          <w:sz w:val="24"/>
          <w:szCs w:val="24"/>
          <w:lang w:val="ru-RU"/>
        </w:rPr>
        <w:t>Перечень и образцы самостоятельно разработанных форм первичных документов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654E4D6" w14:textId="4F2CF788" w:rsidR="00CF1E45" w:rsidRPr="00AB05E6" w:rsidRDefault="008824AF" w:rsidP="003110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6629F" w:rsidRPr="00AB05E6">
        <w:rPr>
          <w:rFonts w:hAnsi="Times New Roman" w:cs="Times New Roman"/>
          <w:color w:val="000000"/>
          <w:sz w:val="24"/>
          <w:szCs w:val="24"/>
          <w:lang w:val="ru-RU"/>
        </w:rPr>
        <w:t>Положение о внутреннем финансовом контроле</w:t>
      </w:r>
      <w:r w:rsidR="00040565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bookmarkStart w:id="0" w:name="_GoBack"/>
      <w:bookmarkEnd w:id="0"/>
    </w:p>
    <w:p w14:paraId="51DB9B3D" w14:textId="47031B2A" w:rsidR="00CF1E45" w:rsidRPr="00AB05E6" w:rsidRDefault="00816EB1" w:rsidP="003110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b/>
          <w:bCs/>
          <w:lang w:val="ru-RU"/>
        </w:rPr>
        <w:t xml:space="preserve">- </w:t>
      </w:r>
      <w:proofErr w:type="spellStart"/>
      <w:proofErr w:type="gramStart"/>
      <w:r w:rsidRPr="00816EB1">
        <w:t>График</w:t>
      </w:r>
      <w:proofErr w:type="spellEnd"/>
      <w:r>
        <w:rPr>
          <w:lang w:val="ru-RU"/>
        </w:rPr>
        <w:t xml:space="preserve"> </w:t>
      </w:r>
      <w:r w:rsidRPr="00816EB1">
        <w:t xml:space="preserve"> </w:t>
      </w:r>
      <w:proofErr w:type="spellStart"/>
      <w:r w:rsidRPr="00816EB1">
        <w:t>документооборота</w:t>
      </w:r>
      <w:proofErr w:type="spellEnd"/>
      <w:proofErr w:type="gramEnd"/>
      <w:r>
        <w:rPr>
          <w:lang w:val="ru-RU"/>
        </w:rPr>
        <w:t xml:space="preserve"> </w:t>
      </w:r>
      <w:r w:rsidRPr="00816EB1">
        <w:t xml:space="preserve"> </w:t>
      </w:r>
      <w:proofErr w:type="spellStart"/>
      <w:r w:rsidRPr="00816EB1">
        <w:t>электронных</w:t>
      </w:r>
      <w:proofErr w:type="spellEnd"/>
      <w:r w:rsidRPr="00816EB1">
        <w:t xml:space="preserve"> </w:t>
      </w:r>
      <w:proofErr w:type="spellStart"/>
      <w:r w:rsidRPr="00816EB1">
        <w:t>документов</w:t>
      </w:r>
      <w:proofErr w:type="spellEnd"/>
      <w:r w:rsidR="008824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0DF6785" w14:textId="77777777" w:rsidR="00CF1E45" w:rsidRPr="00AB05E6" w:rsidRDefault="00CF1E45" w:rsidP="003110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F1E45" w:rsidRPr="00AB05E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A04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A6E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E35E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1A30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C11B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7256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6079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2E25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B463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F234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3F13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10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40565"/>
    <w:rsid w:val="00227285"/>
    <w:rsid w:val="002D33B1"/>
    <w:rsid w:val="002D3591"/>
    <w:rsid w:val="00311059"/>
    <w:rsid w:val="003514A0"/>
    <w:rsid w:val="003D11CF"/>
    <w:rsid w:val="00450933"/>
    <w:rsid w:val="004F7E17"/>
    <w:rsid w:val="005A05CE"/>
    <w:rsid w:val="00623A1E"/>
    <w:rsid w:val="00653AF6"/>
    <w:rsid w:val="00740B67"/>
    <w:rsid w:val="007E59EB"/>
    <w:rsid w:val="00816EB1"/>
    <w:rsid w:val="008824AF"/>
    <w:rsid w:val="008F65A5"/>
    <w:rsid w:val="009377C3"/>
    <w:rsid w:val="009E7334"/>
    <w:rsid w:val="00A24BA6"/>
    <w:rsid w:val="00AB05E6"/>
    <w:rsid w:val="00AE3943"/>
    <w:rsid w:val="00B73A5A"/>
    <w:rsid w:val="00C41695"/>
    <w:rsid w:val="00C6629F"/>
    <w:rsid w:val="00CF1E45"/>
    <w:rsid w:val="00DC4AF2"/>
    <w:rsid w:val="00E438A1"/>
    <w:rsid w:val="00F01E19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7289F"/>
  <w15:docId w15:val="{0957BC7F-D46E-4B37-B735-6A5B6158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Revision"/>
    <w:hidden/>
    <w:uiPriority w:val="99"/>
    <w:semiHidden/>
    <w:rsid w:val="00311059"/>
    <w:pPr>
      <w:spacing w:before="0" w:beforeAutospacing="0" w:after="0" w:afterAutospacing="0"/>
    </w:pPr>
  </w:style>
  <w:style w:type="paragraph" w:styleId="a4">
    <w:name w:val="List Paragraph"/>
    <w:basedOn w:val="a"/>
    <w:uiPriority w:val="34"/>
    <w:qFormat/>
    <w:rsid w:val="00450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l.gundyreva</dc:creator>
  <dc:description>Подготовлено экспертами Актион-МЦФЭР</dc:description>
  <cp:lastModifiedBy>l.gundyreva</cp:lastModifiedBy>
  <cp:revision>7</cp:revision>
  <dcterms:created xsi:type="dcterms:W3CDTF">2022-01-31T16:50:00Z</dcterms:created>
  <dcterms:modified xsi:type="dcterms:W3CDTF">2024-12-27T13:20:00Z</dcterms:modified>
</cp:coreProperties>
</file>